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E2A0F">
      <w:pPr>
        <w:widowControl/>
        <w:autoSpaceDE w:val="0"/>
        <w:autoSpaceDN w:val="0"/>
        <w:spacing w:line="360" w:lineRule="auto"/>
        <w:ind w:right="-26" w:hanging="480"/>
        <w:jc w:val="center"/>
        <w:textAlignment w:val="bottom"/>
        <w:rPr>
          <w:rFonts w:hint="eastAsia" w:ascii="宋体" w:hAnsi="宋体" w:eastAsia="宋体" w:cs="宋体"/>
          <w:b/>
          <w:bCs/>
          <w:color w:val="auto"/>
          <w:kern w:val="0"/>
          <w:sz w:val="32"/>
          <w:szCs w:val="32"/>
        </w:rPr>
      </w:pPr>
    </w:p>
    <w:p w14:paraId="4E6119AA">
      <w:pPr>
        <w:widowControl/>
        <w:autoSpaceDE w:val="0"/>
        <w:autoSpaceDN w:val="0"/>
        <w:spacing w:line="360" w:lineRule="auto"/>
        <w:ind w:right="-26" w:hanging="480"/>
        <w:jc w:val="center"/>
        <w:textAlignment w:val="bottom"/>
        <w:rPr>
          <w:rFonts w:hint="eastAsia" w:ascii="宋体" w:hAnsi="宋体" w:eastAsia="宋体" w:cs="宋体"/>
          <w:b/>
          <w:bCs/>
          <w:color w:val="auto"/>
          <w:kern w:val="0"/>
          <w:sz w:val="32"/>
          <w:szCs w:val="32"/>
        </w:rPr>
      </w:pPr>
    </w:p>
    <w:p w14:paraId="76C8A346">
      <w:pPr>
        <w:widowControl/>
        <w:autoSpaceDE w:val="0"/>
        <w:autoSpaceDN w:val="0"/>
        <w:spacing w:line="360" w:lineRule="auto"/>
        <w:ind w:right="-26" w:hanging="480"/>
        <w:jc w:val="center"/>
        <w:textAlignment w:val="bottom"/>
        <w:rPr>
          <w:rFonts w:hint="eastAsia" w:ascii="宋体" w:hAnsi="宋体" w:eastAsia="宋体" w:cs="宋体"/>
          <w:b/>
          <w:bCs/>
          <w:color w:val="auto"/>
          <w:kern w:val="0"/>
          <w:sz w:val="32"/>
          <w:szCs w:val="32"/>
        </w:rPr>
      </w:pPr>
    </w:p>
    <w:p w14:paraId="543FF372">
      <w:pPr>
        <w:widowControl/>
        <w:autoSpaceDE w:val="0"/>
        <w:autoSpaceDN w:val="0"/>
        <w:spacing w:line="480" w:lineRule="auto"/>
        <w:ind w:right="-28" w:hanging="482"/>
        <w:jc w:val="center"/>
        <w:textAlignment w:val="bottom"/>
        <w:rPr>
          <w:rFonts w:hint="eastAsia" w:ascii="宋体" w:hAnsi="宋体" w:eastAsia="宋体" w:cs="宋体"/>
          <w:b/>
          <w:bCs/>
          <w:color w:val="auto"/>
          <w:kern w:val="0"/>
          <w:sz w:val="44"/>
          <w:szCs w:val="44"/>
          <w:lang w:val="en-US" w:eastAsia="zh-CN"/>
        </w:rPr>
      </w:pPr>
      <w:r>
        <w:rPr>
          <w:rFonts w:hint="eastAsia" w:ascii="宋体" w:hAnsi="宋体" w:eastAsia="宋体" w:cs="宋体"/>
          <w:b/>
          <w:bCs/>
          <w:color w:val="auto"/>
          <w:kern w:val="0"/>
          <w:sz w:val="44"/>
          <w:szCs w:val="44"/>
        </w:rPr>
        <w:t>深圳</w:t>
      </w:r>
      <w:r>
        <w:rPr>
          <w:rFonts w:hint="eastAsia" w:ascii="宋体" w:hAnsi="宋体" w:eastAsia="宋体" w:cs="宋体"/>
          <w:b/>
          <w:bCs/>
          <w:color w:val="auto"/>
          <w:kern w:val="0"/>
          <w:sz w:val="44"/>
          <w:szCs w:val="44"/>
          <w:lang w:val="en-US" w:eastAsia="zh-CN"/>
        </w:rPr>
        <w:t>市</w:t>
      </w:r>
      <w:r>
        <w:rPr>
          <w:rFonts w:hint="eastAsia" w:ascii="宋体" w:hAnsi="宋体" w:eastAsia="宋体" w:cs="宋体"/>
          <w:b/>
          <w:bCs/>
          <w:color w:val="auto"/>
          <w:kern w:val="0"/>
          <w:sz w:val="44"/>
          <w:szCs w:val="44"/>
        </w:rPr>
        <w:t>第二</w:t>
      </w:r>
      <w:r>
        <w:rPr>
          <w:rFonts w:hint="eastAsia" w:ascii="宋体" w:hAnsi="宋体" w:eastAsia="宋体" w:cs="宋体"/>
          <w:b/>
          <w:bCs/>
          <w:color w:val="auto"/>
          <w:kern w:val="0"/>
          <w:sz w:val="44"/>
          <w:szCs w:val="44"/>
          <w:lang w:val="en-US" w:eastAsia="zh-CN"/>
        </w:rPr>
        <w:t>实验</w:t>
      </w:r>
      <w:r>
        <w:rPr>
          <w:rFonts w:hint="eastAsia" w:ascii="宋体" w:hAnsi="宋体" w:eastAsia="宋体" w:cs="宋体"/>
          <w:b/>
          <w:bCs/>
          <w:color w:val="auto"/>
          <w:kern w:val="0"/>
          <w:sz w:val="44"/>
          <w:szCs w:val="44"/>
        </w:rPr>
        <w:t>学校</w:t>
      </w:r>
      <w:r>
        <w:rPr>
          <w:rFonts w:hint="eastAsia" w:ascii="宋体" w:hAnsi="宋体" w:eastAsia="宋体" w:cs="宋体"/>
          <w:b/>
          <w:bCs/>
          <w:color w:val="auto"/>
          <w:kern w:val="0"/>
          <w:sz w:val="44"/>
          <w:szCs w:val="44"/>
          <w:lang w:val="en-US" w:eastAsia="zh-CN"/>
        </w:rPr>
        <w:t>明远高中</w:t>
      </w:r>
    </w:p>
    <w:p w14:paraId="46C64AF7">
      <w:pPr>
        <w:widowControl/>
        <w:autoSpaceDE w:val="0"/>
        <w:autoSpaceDN w:val="0"/>
        <w:spacing w:line="360" w:lineRule="auto"/>
        <w:ind w:right="-26"/>
        <w:jc w:val="center"/>
        <w:textAlignment w:val="bottom"/>
        <w:rPr>
          <w:rFonts w:hint="eastAsia" w:ascii="宋体" w:hAnsi="宋体" w:eastAsia="宋体" w:cs="宋体"/>
          <w:b/>
          <w:bCs/>
          <w:color w:val="auto"/>
          <w:sz w:val="44"/>
          <w:szCs w:val="44"/>
          <w:lang w:val="en-US"/>
        </w:rPr>
      </w:pPr>
      <w:r>
        <w:rPr>
          <w:rFonts w:hint="eastAsia" w:ascii="宋体" w:hAnsi="宋体" w:eastAsia="宋体" w:cs="宋体"/>
          <w:b/>
          <w:bCs/>
          <w:color w:val="auto"/>
          <w:sz w:val="44"/>
          <w:szCs w:val="44"/>
          <w:lang w:val="en-US" w:eastAsia="zh-CN"/>
        </w:rPr>
        <w:t>饮水机设备</w:t>
      </w:r>
    </w:p>
    <w:p w14:paraId="1470E33A">
      <w:pPr>
        <w:widowControl/>
        <w:autoSpaceDE w:val="0"/>
        <w:autoSpaceDN w:val="0"/>
        <w:spacing w:line="360" w:lineRule="auto"/>
        <w:ind w:right="-26"/>
        <w:jc w:val="center"/>
        <w:textAlignment w:val="bottom"/>
        <w:rPr>
          <w:rFonts w:hint="eastAsia" w:ascii="宋体" w:hAnsi="宋体" w:eastAsia="宋体" w:cs="宋体"/>
          <w:b/>
          <w:bCs/>
          <w:color w:val="auto"/>
          <w:sz w:val="44"/>
          <w:szCs w:val="44"/>
        </w:rPr>
      </w:pPr>
    </w:p>
    <w:p w14:paraId="72701E8D">
      <w:pPr>
        <w:widowControl/>
        <w:autoSpaceDE w:val="0"/>
        <w:autoSpaceDN w:val="0"/>
        <w:spacing w:line="360" w:lineRule="auto"/>
        <w:ind w:right="-26"/>
        <w:jc w:val="center"/>
        <w:textAlignment w:val="bottom"/>
        <w:rPr>
          <w:rFonts w:hint="eastAsia" w:ascii="宋体" w:hAnsi="宋体" w:eastAsia="宋体" w:cs="宋体"/>
          <w:b/>
          <w:bCs/>
          <w:color w:val="auto"/>
          <w:sz w:val="72"/>
          <w:szCs w:val="72"/>
        </w:rPr>
      </w:pPr>
      <w:r>
        <w:rPr>
          <w:rFonts w:hint="eastAsia" w:ascii="宋体" w:hAnsi="宋体" w:eastAsia="宋体" w:cs="宋体"/>
          <w:b/>
          <w:bCs/>
          <w:color w:val="auto"/>
          <w:sz w:val="72"/>
          <w:szCs w:val="72"/>
          <w:lang w:val="en-US" w:eastAsia="zh-CN"/>
        </w:rPr>
        <w:t>招标</w:t>
      </w:r>
      <w:r>
        <w:rPr>
          <w:rFonts w:hint="eastAsia" w:ascii="宋体" w:hAnsi="宋体" w:eastAsia="宋体" w:cs="宋体"/>
          <w:b/>
          <w:bCs/>
          <w:color w:val="auto"/>
          <w:sz w:val="72"/>
          <w:szCs w:val="72"/>
        </w:rPr>
        <w:t>文件</w:t>
      </w:r>
    </w:p>
    <w:p w14:paraId="6D4971C1">
      <w:pPr>
        <w:widowControl/>
        <w:autoSpaceDE w:val="0"/>
        <w:autoSpaceDN w:val="0"/>
        <w:spacing w:line="360" w:lineRule="auto"/>
        <w:ind w:right="-26"/>
        <w:jc w:val="center"/>
        <w:textAlignment w:val="bottom"/>
        <w:rPr>
          <w:rFonts w:hint="eastAsia" w:ascii="宋体" w:hAnsi="宋体" w:eastAsia="宋体" w:cs="宋体"/>
          <w:b/>
          <w:bCs/>
          <w:color w:val="auto"/>
          <w:sz w:val="44"/>
          <w:szCs w:val="44"/>
        </w:rPr>
      </w:pPr>
    </w:p>
    <w:p w14:paraId="3E168AF0">
      <w:pPr>
        <w:widowControl/>
        <w:autoSpaceDE w:val="0"/>
        <w:autoSpaceDN w:val="0"/>
        <w:spacing w:line="360" w:lineRule="auto"/>
        <w:ind w:right="-26"/>
        <w:jc w:val="center"/>
        <w:textAlignment w:val="bottom"/>
        <w:rPr>
          <w:rFonts w:hint="eastAsia" w:ascii="宋体" w:hAnsi="宋体" w:eastAsia="宋体" w:cs="宋体"/>
          <w:b/>
          <w:bCs/>
          <w:color w:val="auto"/>
          <w:sz w:val="44"/>
          <w:szCs w:val="44"/>
        </w:rPr>
      </w:pPr>
    </w:p>
    <w:p w14:paraId="5E9A8289">
      <w:pPr>
        <w:widowControl/>
        <w:autoSpaceDE w:val="0"/>
        <w:autoSpaceDN w:val="0"/>
        <w:spacing w:line="360" w:lineRule="auto"/>
        <w:ind w:right="-26"/>
        <w:jc w:val="center"/>
        <w:textAlignment w:val="bottom"/>
        <w:rPr>
          <w:rFonts w:hint="eastAsia" w:ascii="宋体" w:hAnsi="宋体" w:eastAsia="宋体" w:cs="宋体"/>
          <w:b/>
          <w:bCs/>
          <w:color w:val="auto"/>
          <w:sz w:val="44"/>
          <w:szCs w:val="44"/>
        </w:rPr>
      </w:pPr>
    </w:p>
    <w:p w14:paraId="250E80F3">
      <w:pPr>
        <w:widowControl/>
        <w:autoSpaceDE w:val="0"/>
        <w:autoSpaceDN w:val="0"/>
        <w:spacing w:line="360" w:lineRule="auto"/>
        <w:ind w:right="-26"/>
        <w:jc w:val="center"/>
        <w:textAlignment w:val="bottom"/>
        <w:rPr>
          <w:rFonts w:hint="eastAsia" w:ascii="宋体" w:hAnsi="宋体" w:eastAsia="宋体" w:cs="宋体"/>
          <w:b/>
          <w:bCs/>
          <w:color w:val="auto"/>
          <w:sz w:val="44"/>
          <w:szCs w:val="44"/>
        </w:rPr>
      </w:pPr>
    </w:p>
    <w:p w14:paraId="63EA79C4">
      <w:pPr>
        <w:widowControl/>
        <w:autoSpaceDE w:val="0"/>
        <w:autoSpaceDN w:val="0"/>
        <w:spacing w:line="360" w:lineRule="auto"/>
        <w:ind w:right="-26"/>
        <w:jc w:val="center"/>
        <w:textAlignment w:val="bottom"/>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rPr>
        <w:t>招标编号</w:t>
      </w:r>
      <w:r>
        <w:rPr>
          <w:rFonts w:hint="eastAsia" w:ascii="宋体" w:hAnsi="宋体" w:eastAsia="宋体" w:cs="宋体"/>
          <w:b/>
          <w:bCs/>
          <w:color w:val="auto"/>
          <w:sz w:val="44"/>
          <w:szCs w:val="44"/>
          <w:lang w:val="en-US" w:eastAsia="zh-CN"/>
        </w:rPr>
        <w:t>：SZMYZB20250</w:t>
      </w:r>
      <w:r>
        <w:rPr>
          <w:rFonts w:hint="eastAsia" w:ascii="宋体" w:hAnsi="宋体" w:cs="宋体"/>
          <w:b/>
          <w:bCs/>
          <w:color w:val="auto"/>
          <w:sz w:val="44"/>
          <w:szCs w:val="44"/>
          <w:lang w:val="en-US" w:eastAsia="zh-CN"/>
        </w:rPr>
        <w:t>604</w:t>
      </w:r>
      <w:r>
        <w:rPr>
          <w:rFonts w:hint="eastAsia" w:ascii="宋体" w:hAnsi="宋体" w:eastAsia="宋体" w:cs="宋体"/>
          <w:b/>
          <w:bCs/>
          <w:color w:val="auto"/>
          <w:sz w:val="44"/>
          <w:szCs w:val="44"/>
          <w:lang w:val="en-US" w:eastAsia="zh-CN"/>
        </w:rPr>
        <w:t>-1</w:t>
      </w:r>
    </w:p>
    <w:p w14:paraId="7B48FADE">
      <w:pPr>
        <w:widowControl/>
        <w:autoSpaceDE w:val="0"/>
        <w:autoSpaceDN w:val="0"/>
        <w:spacing w:line="360" w:lineRule="auto"/>
        <w:ind w:right="-26"/>
        <w:jc w:val="center"/>
        <w:textAlignment w:val="bottom"/>
        <w:rPr>
          <w:rFonts w:hint="default"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招标日期：2025年</w:t>
      </w:r>
      <w:r>
        <w:rPr>
          <w:rFonts w:hint="eastAsia" w:ascii="宋体" w:hAnsi="宋体" w:cs="宋体"/>
          <w:b/>
          <w:bCs/>
          <w:color w:val="auto"/>
          <w:sz w:val="44"/>
          <w:szCs w:val="44"/>
          <w:lang w:val="en-US" w:eastAsia="zh-CN"/>
        </w:rPr>
        <w:t>06</w:t>
      </w:r>
      <w:r>
        <w:rPr>
          <w:rFonts w:hint="eastAsia" w:ascii="宋体" w:hAnsi="宋体" w:eastAsia="宋体" w:cs="宋体"/>
          <w:b/>
          <w:bCs/>
          <w:color w:val="auto"/>
          <w:sz w:val="44"/>
          <w:szCs w:val="44"/>
          <w:lang w:val="en-US" w:eastAsia="zh-CN"/>
        </w:rPr>
        <w:t>月</w:t>
      </w:r>
      <w:r>
        <w:rPr>
          <w:rFonts w:hint="eastAsia" w:ascii="宋体" w:hAnsi="宋体" w:cs="宋体"/>
          <w:b/>
          <w:bCs/>
          <w:color w:val="auto"/>
          <w:sz w:val="44"/>
          <w:szCs w:val="44"/>
          <w:lang w:val="en-US" w:eastAsia="zh-CN"/>
        </w:rPr>
        <w:t>04日</w:t>
      </w:r>
    </w:p>
    <w:p w14:paraId="1FBC7A56">
      <w:pPr>
        <w:pStyle w:val="22"/>
        <w:jc w:val="center"/>
        <w:rPr>
          <w:rFonts w:hint="eastAsia" w:ascii="宋体" w:hAnsi="宋体" w:eastAsia="宋体" w:cs="宋体"/>
          <w:color w:val="auto"/>
          <w:sz w:val="44"/>
          <w:szCs w:val="44"/>
          <w:lang w:val="en-US" w:eastAsia="zh-CN"/>
        </w:rPr>
      </w:pPr>
      <w:r>
        <w:rPr>
          <w:rFonts w:hint="eastAsia" w:ascii="宋体" w:hAnsi="宋体" w:eastAsia="宋体" w:cs="宋体"/>
          <w:b/>
          <w:bCs/>
          <w:color w:val="auto"/>
          <w:sz w:val="44"/>
          <w:szCs w:val="44"/>
          <w:lang w:val="en-US" w:eastAsia="zh-CN"/>
        </w:rPr>
        <w:t>项目类型：货物类</w:t>
      </w:r>
    </w:p>
    <w:p w14:paraId="13D0735A">
      <w:pPr>
        <w:widowControl/>
        <w:autoSpaceDE w:val="0"/>
        <w:autoSpaceDN w:val="0"/>
        <w:spacing w:line="360" w:lineRule="auto"/>
        <w:ind w:right="-26"/>
        <w:jc w:val="center"/>
        <w:textAlignment w:val="bottom"/>
        <w:rPr>
          <w:rFonts w:hint="eastAsia" w:ascii="宋体" w:hAnsi="宋体" w:eastAsia="宋体" w:cs="宋体"/>
          <w:b/>
          <w:bCs/>
          <w:color w:val="auto"/>
          <w:sz w:val="44"/>
          <w:szCs w:val="44"/>
        </w:rPr>
      </w:pPr>
    </w:p>
    <w:p w14:paraId="75E70F52">
      <w:pPr>
        <w:widowControl/>
        <w:autoSpaceDE w:val="0"/>
        <w:autoSpaceDN w:val="0"/>
        <w:spacing w:line="360" w:lineRule="auto"/>
        <w:ind w:right="-26"/>
        <w:jc w:val="center"/>
        <w:textAlignment w:val="bottom"/>
        <w:rPr>
          <w:rFonts w:hint="eastAsia" w:ascii="宋体" w:hAnsi="宋体" w:eastAsia="宋体" w:cs="宋体"/>
          <w:b/>
          <w:bCs/>
          <w:color w:val="auto"/>
          <w:sz w:val="44"/>
          <w:szCs w:val="44"/>
        </w:rPr>
      </w:pPr>
    </w:p>
    <w:p w14:paraId="73A6E905">
      <w:pPr>
        <w:widowControl/>
        <w:autoSpaceDE w:val="0"/>
        <w:autoSpaceDN w:val="0"/>
        <w:spacing w:line="360" w:lineRule="auto"/>
        <w:ind w:right="-26"/>
        <w:jc w:val="center"/>
        <w:textAlignment w:val="bottom"/>
        <w:rPr>
          <w:rFonts w:hint="eastAsia" w:ascii="宋体" w:hAnsi="宋体" w:eastAsia="宋体" w:cs="宋体"/>
          <w:b/>
          <w:bCs/>
          <w:color w:val="auto"/>
          <w:sz w:val="44"/>
          <w:szCs w:val="44"/>
        </w:rPr>
      </w:pPr>
    </w:p>
    <w:p w14:paraId="47ADE0E5">
      <w:pPr>
        <w:widowControl/>
        <w:autoSpaceDE w:val="0"/>
        <w:autoSpaceDN w:val="0"/>
        <w:spacing w:line="360" w:lineRule="auto"/>
        <w:ind w:right="-26"/>
        <w:jc w:val="center"/>
        <w:textAlignment w:val="bottom"/>
        <w:rPr>
          <w:rFonts w:hint="eastAsia" w:ascii="宋体" w:hAnsi="宋体" w:eastAsia="宋体" w:cs="宋体"/>
          <w:b/>
          <w:bCs/>
          <w:color w:val="auto"/>
          <w:sz w:val="44"/>
          <w:szCs w:val="44"/>
        </w:rPr>
      </w:pPr>
    </w:p>
    <w:p w14:paraId="00E75120">
      <w:pPr>
        <w:widowControl/>
        <w:autoSpaceDE w:val="0"/>
        <w:autoSpaceDN w:val="0"/>
        <w:spacing w:line="360" w:lineRule="auto"/>
        <w:ind w:right="-26"/>
        <w:jc w:val="center"/>
        <w:textAlignment w:val="bottom"/>
        <w:rPr>
          <w:rFonts w:hint="eastAsia" w:ascii="宋体" w:hAnsi="宋体" w:eastAsia="宋体" w:cs="宋体"/>
          <w:b/>
          <w:bCs/>
          <w:color w:val="auto"/>
          <w:sz w:val="44"/>
          <w:szCs w:val="44"/>
        </w:rPr>
      </w:pPr>
    </w:p>
    <w:p w14:paraId="6241C727">
      <w:pPr>
        <w:pStyle w:val="4"/>
        <w:spacing w:line="360" w:lineRule="auto"/>
        <w:rPr>
          <w:rFonts w:hint="eastAsia" w:ascii="宋体" w:hAnsi="宋体" w:eastAsia="宋体" w:cs="宋体"/>
          <w:color w:val="auto"/>
          <w:sz w:val="32"/>
          <w:szCs w:val="32"/>
        </w:rPr>
      </w:pPr>
    </w:p>
    <w:p w14:paraId="30CA59DF">
      <w:pPr>
        <w:rPr>
          <w:rFonts w:hint="eastAsia" w:ascii="宋体" w:hAnsi="宋体" w:eastAsia="宋体" w:cs="宋体"/>
          <w:color w:val="auto"/>
          <w:sz w:val="32"/>
          <w:szCs w:val="32"/>
        </w:rPr>
      </w:pPr>
    </w:p>
    <w:p w14:paraId="725DC542">
      <w:pPr>
        <w:pStyle w:val="21"/>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警示条款</w:t>
      </w:r>
    </w:p>
    <w:p w14:paraId="1605189A">
      <w:pPr>
        <w:autoSpaceDE w:val="0"/>
        <w:autoSpaceDN w:val="0"/>
        <w:adjustRightInd w:val="0"/>
        <w:spacing w:line="360" w:lineRule="auto"/>
        <w:jc w:val="center"/>
        <w:rPr>
          <w:rFonts w:ascii="宋体" w:hAnsi="宋体" w:cs="仿宋_GB2312"/>
          <w:b/>
          <w:color w:val="auto"/>
          <w:kern w:val="0"/>
          <w:sz w:val="21"/>
          <w:szCs w:val="21"/>
          <w:highlight w:val="none"/>
        </w:rPr>
      </w:pPr>
      <w:r>
        <w:rPr>
          <w:rFonts w:hint="eastAsia" w:ascii="宋体" w:hAnsi="宋体" w:cs="仿宋_GB2312"/>
          <w:b/>
          <w:color w:val="auto"/>
          <w:kern w:val="0"/>
          <w:sz w:val="21"/>
          <w:szCs w:val="21"/>
          <w:highlight w:val="none"/>
        </w:rPr>
        <w:t>《深圳经济特区政府采购条例》</w:t>
      </w:r>
    </w:p>
    <w:p w14:paraId="2121C3B9">
      <w:pPr>
        <w:autoSpaceDE w:val="0"/>
        <w:autoSpaceDN w:val="0"/>
        <w:adjustRightInd w:val="0"/>
        <w:spacing w:line="360" w:lineRule="auto"/>
        <w:ind w:firstLine="422" w:firstLineChars="200"/>
        <w:jc w:val="left"/>
        <w:rPr>
          <w:rFonts w:ascii="宋体" w:hAnsi="宋体"/>
          <w:color w:val="auto"/>
          <w:sz w:val="21"/>
          <w:szCs w:val="21"/>
          <w:highlight w:val="none"/>
        </w:rPr>
      </w:pPr>
      <w:r>
        <w:rPr>
          <w:rStyle w:val="18"/>
          <w:rFonts w:hint="eastAsia" w:ascii="宋体" w:hAnsi="宋体"/>
          <w:color w:val="auto"/>
          <w:sz w:val="21"/>
          <w:szCs w:val="21"/>
          <w:highlight w:val="none"/>
        </w:rPr>
        <w:t>第五十七条</w:t>
      </w:r>
      <w:r>
        <w:rPr>
          <w:rFonts w:hint="eastAsia" w:ascii="宋体" w:hAnsi="宋体"/>
          <w:color w:val="auto"/>
          <w:sz w:val="21"/>
          <w:szCs w:val="21"/>
          <w:highlight w:val="none"/>
        </w:rPr>
        <w:t>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14:paraId="0A7C6194">
      <w:pPr>
        <w:pStyle w:val="13"/>
        <w:shd w:val="clear" w:color="auto" w:fill="FFFFFF"/>
        <w:spacing w:before="0" w:beforeAutospacing="0" w:after="0" w:afterAutospacing="0" w:line="360" w:lineRule="auto"/>
        <w:ind w:firstLine="420" w:firstLineChars="200"/>
        <w:rPr>
          <w:rFonts w:hint="default"/>
          <w:color w:val="auto"/>
          <w:sz w:val="21"/>
          <w:szCs w:val="21"/>
          <w:highlight w:val="none"/>
        </w:rPr>
      </w:pPr>
      <w:r>
        <w:rPr>
          <w:color w:val="auto"/>
          <w:sz w:val="21"/>
          <w:szCs w:val="21"/>
          <w:highlight w:val="none"/>
        </w:rPr>
        <w:t>（一）在采购活动中应当回避而未回避的；</w:t>
      </w:r>
    </w:p>
    <w:p w14:paraId="0E535D36">
      <w:pPr>
        <w:pStyle w:val="13"/>
        <w:shd w:val="clear" w:color="auto" w:fill="FFFFFF"/>
        <w:spacing w:before="0" w:beforeAutospacing="0" w:after="0" w:afterAutospacing="0" w:line="360" w:lineRule="auto"/>
        <w:ind w:firstLine="420" w:firstLineChars="200"/>
        <w:rPr>
          <w:rFonts w:hint="default"/>
          <w:color w:val="auto"/>
          <w:sz w:val="21"/>
          <w:szCs w:val="21"/>
          <w:highlight w:val="none"/>
        </w:rPr>
      </w:pPr>
      <w:r>
        <w:rPr>
          <w:color w:val="auto"/>
          <w:sz w:val="21"/>
          <w:szCs w:val="21"/>
          <w:highlight w:val="none"/>
        </w:rPr>
        <w:t>（二）未按照本条例规定签订、履行采购合同，造成严重后果的；</w:t>
      </w:r>
    </w:p>
    <w:p w14:paraId="23155C95">
      <w:pPr>
        <w:pStyle w:val="13"/>
        <w:shd w:val="clear" w:color="auto" w:fill="FFFFFF"/>
        <w:spacing w:before="0" w:beforeAutospacing="0" w:after="0" w:afterAutospacing="0" w:line="360" w:lineRule="auto"/>
        <w:ind w:firstLine="420" w:firstLineChars="200"/>
        <w:rPr>
          <w:rFonts w:hint="default"/>
          <w:color w:val="auto"/>
          <w:sz w:val="21"/>
          <w:szCs w:val="21"/>
          <w:highlight w:val="none"/>
        </w:rPr>
      </w:pPr>
      <w:r>
        <w:rPr>
          <w:color w:val="auto"/>
          <w:sz w:val="21"/>
          <w:szCs w:val="21"/>
          <w:highlight w:val="none"/>
        </w:rPr>
        <w:t>（三）隐瞒真实情况，提供虚假资料的；</w:t>
      </w:r>
    </w:p>
    <w:p w14:paraId="6BB8F96D">
      <w:pPr>
        <w:pStyle w:val="13"/>
        <w:shd w:val="clear" w:color="auto" w:fill="FFFFFF"/>
        <w:spacing w:before="0" w:beforeAutospacing="0" w:after="0" w:afterAutospacing="0" w:line="360" w:lineRule="auto"/>
        <w:ind w:firstLine="420" w:firstLineChars="200"/>
        <w:rPr>
          <w:rFonts w:hint="default"/>
          <w:color w:val="auto"/>
          <w:sz w:val="21"/>
          <w:szCs w:val="21"/>
          <w:highlight w:val="none"/>
        </w:rPr>
      </w:pPr>
      <w:r>
        <w:rPr>
          <w:color w:val="auto"/>
          <w:sz w:val="21"/>
          <w:szCs w:val="21"/>
          <w:highlight w:val="none"/>
        </w:rPr>
        <w:t>（四）以非法手段排斥其他供应商参与竞争的；</w:t>
      </w:r>
    </w:p>
    <w:p w14:paraId="1536DC59">
      <w:pPr>
        <w:pStyle w:val="13"/>
        <w:shd w:val="clear" w:color="auto" w:fill="FFFFFF"/>
        <w:spacing w:before="0" w:beforeAutospacing="0" w:after="0" w:afterAutospacing="0" w:line="360" w:lineRule="auto"/>
        <w:ind w:firstLine="420" w:firstLineChars="200"/>
        <w:rPr>
          <w:rFonts w:hint="default"/>
          <w:color w:val="auto"/>
          <w:sz w:val="21"/>
          <w:szCs w:val="21"/>
          <w:highlight w:val="none"/>
        </w:rPr>
      </w:pPr>
      <w:r>
        <w:rPr>
          <w:color w:val="auto"/>
          <w:sz w:val="21"/>
          <w:szCs w:val="21"/>
          <w:highlight w:val="none"/>
        </w:rPr>
        <w:t>（五）与其他采购参加人串通投标的；</w:t>
      </w:r>
    </w:p>
    <w:p w14:paraId="3B5466ED">
      <w:pPr>
        <w:pStyle w:val="13"/>
        <w:shd w:val="clear" w:color="auto" w:fill="FFFFFF"/>
        <w:spacing w:before="0" w:beforeAutospacing="0" w:after="0" w:afterAutospacing="0" w:line="360" w:lineRule="auto"/>
        <w:ind w:firstLine="420" w:firstLineChars="200"/>
        <w:rPr>
          <w:rFonts w:hint="default"/>
          <w:color w:val="auto"/>
          <w:sz w:val="21"/>
          <w:szCs w:val="21"/>
          <w:highlight w:val="none"/>
        </w:rPr>
      </w:pPr>
      <w:r>
        <w:rPr>
          <w:color w:val="auto"/>
          <w:sz w:val="21"/>
          <w:szCs w:val="21"/>
          <w:highlight w:val="none"/>
        </w:rPr>
        <w:t>（六）恶意投诉的；</w:t>
      </w:r>
    </w:p>
    <w:p w14:paraId="599724AD">
      <w:pPr>
        <w:pStyle w:val="13"/>
        <w:shd w:val="clear" w:color="auto" w:fill="FFFFFF"/>
        <w:spacing w:before="0" w:beforeAutospacing="0" w:after="0" w:afterAutospacing="0" w:line="360" w:lineRule="auto"/>
        <w:ind w:firstLine="420" w:firstLineChars="200"/>
        <w:rPr>
          <w:rFonts w:hint="default"/>
          <w:color w:val="auto"/>
          <w:sz w:val="21"/>
          <w:szCs w:val="21"/>
          <w:highlight w:val="none"/>
        </w:rPr>
      </w:pPr>
      <w:r>
        <w:rPr>
          <w:color w:val="auto"/>
          <w:sz w:val="21"/>
          <w:szCs w:val="21"/>
          <w:highlight w:val="none"/>
        </w:rPr>
        <w:t>（七）向采购项目相关人行贿或者提供其他不当利益的；</w:t>
      </w:r>
    </w:p>
    <w:p w14:paraId="0D715D56">
      <w:pPr>
        <w:pStyle w:val="13"/>
        <w:shd w:val="clear" w:color="auto" w:fill="FFFFFF"/>
        <w:spacing w:before="0" w:beforeAutospacing="0" w:after="0" w:afterAutospacing="0" w:line="360" w:lineRule="auto"/>
        <w:ind w:firstLine="420" w:firstLineChars="200"/>
        <w:rPr>
          <w:rFonts w:hint="default"/>
          <w:color w:val="auto"/>
          <w:sz w:val="21"/>
          <w:szCs w:val="21"/>
          <w:highlight w:val="none"/>
        </w:rPr>
      </w:pPr>
      <w:r>
        <w:rPr>
          <w:color w:val="auto"/>
          <w:sz w:val="21"/>
          <w:szCs w:val="21"/>
          <w:highlight w:val="none"/>
        </w:rPr>
        <w:t>（八）阻碍、抗拒主管部门监督检查的；</w:t>
      </w:r>
    </w:p>
    <w:p w14:paraId="3D539C34">
      <w:pPr>
        <w:pStyle w:val="13"/>
        <w:shd w:val="clear" w:color="auto" w:fill="FFFFFF"/>
        <w:spacing w:before="0" w:beforeAutospacing="0" w:after="0" w:afterAutospacing="0" w:line="360" w:lineRule="auto"/>
        <w:ind w:firstLine="420" w:firstLineChars="200"/>
        <w:rPr>
          <w:rFonts w:hint="default"/>
          <w:color w:val="auto"/>
          <w:sz w:val="21"/>
          <w:szCs w:val="21"/>
          <w:highlight w:val="none"/>
        </w:rPr>
      </w:pPr>
      <w:r>
        <w:rPr>
          <w:color w:val="auto"/>
          <w:sz w:val="21"/>
          <w:szCs w:val="21"/>
          <w:highlight w:val="none"/>
        </w:rPr>
        <w:t>（九）其他违反本条例规定的行为。</w:t>
      </w:r>
    </w:p>
    <w:p w14:paraId="293F9D4F">
      <w:pPr>
        <w:autoSpaceDE w:val="0"/>
        <w:autoSpaceDN w:val="0"/>
        <w:adjustRightInd w:val="0"/>
        <w:spacing w:line="360" w:lineRule="auto"/>
        <w:jc w:val="center"/>
        <w:rPr>
          <w:rFonts w:ascii="宋体" w:hAnsi="宋体" w:cs="仿宋_GB2312"/>
          <w:b/>
          <w:color w:val="auto"/>
          <w:kern w:val="0"/>
          <w:sz w:val="21"/>
          <w:szCs w:val="21"/>
          <w:highlight w:val="none"/>
        </w:rPr>
      </w:pPr>
      <w:r>
        <w:rPr>
          <w:rFonts w:hint="eastAsia" w:ascii="宋体" w:hAnsi="宋体" w:cs="仿宋_GB2312"/>
          <w:b/>
          <w:color w:val="auto"/>
          <w:kern w:val="0"/>
          <w:sz w:val="21"/>
          <w:szCs w:val="21"/>
          <w:highlight w:val="none"/>
        </w:rPr>
        <w:t>《深圳经济特区政府采购条例实施细则》</w:t>
      </w:r>
    </w:p>
    <w:p w14:paraId="73E01E37">
      <w:pPr>
        <w:keepLines/>
        <w:spacing w:line="360" w:lineRule="auto"/>
        <w:ind w:firstLine="422" w:firstLineChars="200"/>
        <w:rPr>
          <w:color w:val="auto"/>
          <w:sz w:val="21"/>
          <w:szCs w:val="21"/>
          <w:highlight w:val="none"/>
        </w:rPr>
      </w:pPr>
      <w:r>
        <w:rPr>
          <w:rFonts w:hint="eastAsia"/>
          <w:b/>
          <w:bCs/>
          <w:color w:val="auto"/>
          <w:sz w:val="21"/>
          <w:szCs w:val="21"/>
          <w:highlight w:val="none"/>
        </w:rPr>
        <w:t>第七十五条</w:t>
      </w:r>
      <w:r>
        <w:rPr>
          <w:rFonts w:hint="eastAsia"/>
          <w:color w:val="auto"/>
          <w:sz w:val="21"/>
          <w:szCs w:val="21"/>
          <w:highlight w:val="none"/>
        </w:rPr>
        <w:t> 供应商有下列情形的，属于采购条例所称的串通投标行为，按照采购条例第五十七条有关规定处理：</w:t>
      </w:r>
    </w:p>
    <w:p w14:paraId="59AB4AAA">
      <w:pPr>
        <w:keepLines/>
        <w:spacing w:line="360" w:lineRule="auto"/>
        <w:ind w:firstLine="420" w:firstLineChars="200"/>
        <w:rPr>
          <w:color w:val="auto"/>
          <w:sz w:val="21"/>
          <w:szCs w:val="21"/>
          <w:highlight w:val="none"/>
        </w:rPr>
      </w:pPr>
      <w:r>
        <w:rPr>
          <w:rFonts w:hint="eastAsia"/>
          <w:color w:val="auto"/>
          <w:sz w:val="21"/>
          <w:szCs w:val="21"/>
          <w:highlight w:val="none"/>
        </w:rPr>
        <w:t>（一）投标供应商之间相互约定给予未中标的供应商利益补偿；</w:t>
      </w:r>
    </w:p>
    <w:p w14:paraId="4ACDC2FA">
      <w:pPr>
        <w:keepLines/>
        <w:spacing w:line="360" w:lineRule="auto"/>
        <w:ind w:firstLine="420" w:firstLineChars="200"/>
        <w:rPr>
          <w:color w:val="auto"/>
          <w:sz w:val="21"/>
          <w:szCs w:val="21"/>
          <w:highlight w:val="none"/>
        </w:rPr>
      </w:pPr>
      <w:r>
        <w:rPr>
          <w:rFonts w:hint="eastAsia"/>
          <w:color w:val="auto"/>
          <w:sz w:val="21"/>
          <w:szCs w:val="21"/>
          <w:highlight w:val="none"/>
        </w:rPr>
        <w:t>（二）不同投标供应商的法定代表人、主要经营负责人、项目投标授权代表人、项目负责人、主要技术人员为同一人、属同一单位或者在同一单位缴纳社会保险；　　　　 </w:t>
      </w:r>
    </w:p>
    <w:p w14:paraId="5F82C52D">
      <w:pPr>
        <w:keepLines/>
        <w:spacing w:line="360" w:lineRule="auto"/>
        <w:ind w:firstLine="420" w:firstLineChars="200"/>
        <w:rPr>
          <w:color w:val="auto"/>
          <w:sz w:val="21"/>
          <w:szCs w:val="21"/>
          <w:highlight w:val="none"/>
        </w:rPr>
      </w:pPr>
      <w:r>
        <w:rPr>
          <w:rFonts w:hint="eastAsia"/>
          <w:color w:val="auto"/>
          <w:sz w:val="21"/>
          <w:szCs w:val="21"/>
          <w:highlight w:val="none"/>
        </w:rPr>
        <w:t>（三）不同投标供应商的投标文件由同一单位或者同一人编制，或者由同一人分阶段参与编制的；</w:t>
      </w:r>
    </w:p>
    <w:p w14:paraId="7AB55012">
      <w:pPr>
        <w:keepLines/>
        <w:spacing w:line="360" w:lineRule="auto"/>
        <w:ind w:firstLine="420" w:firstLineChars="200"/>
        <w:rPr>
          <w:color w:val="auto"/>
          <w:sz w:val="21"/>
          <w:szCs w:val="21"/>
          <w:highlight w:val="none"/>
        </w:rPr>
      </w:pPr>
      <w:r>
        <w:rPr>
          <w:rFonts w:hint="eastAsia"/>
          <w:color w:val="auto"/>
          <w:sz w:val="21"/>
          <w:szCs w:val="21"/>
          <w:highlight w:val="none"/>
        </w:rPr>
        <w:t>（四）不同投标供应商的投标文件或部分投标文件相互混装；</w:t>
      </w:r>
    </w:p>
    <w:p w14:paraId="3420B17D">
      <w:pPr>
        <w:keepLines/>
        <w:spacing w:line="360" w:lineRule="auto"/>
        <w:ind w:firstLine="420" w:firstLineChars="200"/>
        <w:rPr>
          <w:color w:val="auto"/>
          <w:sz w:val="21"/>
          <w:szCs w:val="21"/>
          <w:highlight w:val="none"/>
        </w:rPr>
      </w:pPr>
      <w:r>
        <w:rPr>
          <w:rFonts w:hint="eastAsia"/>
          <w:color w:val="auto"/>
          <w:sz w:val="21"/>
          <w:szCs w:val="21"/>
          <w:highlight w:val="none"/>
        </w:rPr>
        <w:t>（五）不同投标供应商的投标文件内容存在非正常一致；</w:t>
      </w:r>
    </w:p>
    <w:p w14:paraId="5782E12A">
      <w:pPr>
        <w:keepLines/>
        <w:spacing w:line="360" w:lineRule="auto"/>
        <w:ind w:firstLine="420" w:firstLineChars="200"/>
        <w:rPr>
          <w:color w:val="auto"/>
          <w:sz w:val="21"/>
          <w:szCs w:val="21"/>
          <w:highlight w:val="none"/>
        </w:rPr>
      </w:pPr>
      <w:r>
        <w:rPr>
          <w:rFonts w:hint="eastAsia"/>
          <w:color w:val="auto"/>
          <w:sz w:val="21"/>
          <w:szCs w:val="21"/>
          <w:highlight w:val="none"/>
        </w:rPr>
        <w:t>（六）由同一单位工作人员为两家以上（含两家）供应商进行同一项投标活动的；</w:t>
      </w:r>
    </w:p>
    <w:p w14:paraId="0E81561E">
      <w:pPr>
        <w:keepLines/>
        <w:spacing w:line="360" w:lineRule="auto"/>
        <w:ind w:firstLine="420" w:firstLineChars="200"/>
        <w:rPr>
          <w:color w:val="auto"/>
          <w:sz w:val="21"/>
          <w:szCs w:val="21"/>
          <w:highlight w:val="none"/>
        </w:rPr>
      </w:pPr>
      <w:r>
        <w:rPr>
          <w:rFonts w:hint="eastAsia"/>
          <w:color w:val="auto"/>
          <w:sz w:val="21"/>
          <w:szCs w:val="21"/>
          <w:highlight w:val="none"/>
        </w:rPr>
        <w:t>（七）主管部门依照法律、法规认定的其他情形。</w:t>
      </w:r>
    </w:p>
    <w:p w14:paraId="7FB700D3">
      <w:pPr>
        <w:keepLines/>
        <w:spacing w:line="360" w:lineRule="auto"/>
        <w:ind w:firstLine="422" w:firstLineChars="200"/>
        <w:rPr>
          <w:color w:val="auto"/>
          <w:sz w:val="21"/>
          <w:szCs w:val="21"/>
          <w:highlight w:val="none"/>
        </w:rPr>
      </w:pPr>
      <w:r>
        <w:rPr>
          <w:rFonts w:hint="eastAsia"/>
          <w:b/>
          <w:bCs/>
          <w:color w:val="auto"/>
          <w:sz w:val="21"/>
          <w:szCs w:val="21"/>
          <w:highlight w:val="none"/>
        </w:rPr>
        <w:t>第七十七条</w:t>
      </w:r>
      <w:r>
        <w:rPr>
          <w:rFonts w:hint="eastAsia"/>
          <w:color w:val="auto"/>
          <w:sz w:val="21"/>
          <w:szCs w:val="21"/>
          <w:highlight w:val="none"/>
        </w:rPr>
        <w:t> 供应商有下列情形之一的，属于隐瞒真实情况，提供虚假资料，按照采购条例第五十七条的有关规定处理：</w:t>
      </w:r>
    </w:p>
    <w:p w14:paraId="0C10335F">
      <w:pPr>
        <w:keepLines/>
        <w:spacing w:line="360" w:lineRule="auto"/>
        <w:ind w:firstLine="420" w:firstLineChars="200"/>
        <w:rPr>
          <w:color w:val="auto"/>
          <w:sz w:val="21"/>
          <w:szCs w:val="21"/>
          <w:highlight w:val="none"/>
        </w:rPr>
      </w:pPr>
      <w:r>
        <w:rPr>
          <w:rFonts w:hint="eastAsia"/>
          <w:color w:val="auto"/>
          <w:sz w:val="21"/>
          <w:szCs w:val="21"/>
          <w:highlight w:val="none"/>
        </w:rPr>
        <w:t>（一）通过转让或者租借等方式从其他单位获取资格或者资质证书投标的；</w:t>
      </w:r>
    </w:p>
    <w:p w14:paraId="75C6A94C">
      <w:pPr>
        <w:keepLines/>
        <w:spacing w:line="360" w:lineRule="auto"/>
        <w:ind w:firstLine="420" w:firstLineChars="200"/>
        <w:rPr>
          <w:color w:val="auto"/>
          <w:sz w:val="21"/>
          <w:szCs w:val="21"/>
          <w:highlight w:val="none"/>
        </w:rPr>
      </w:pPr>
      <w:r>
        <w:rPr>
          <w:rFonts w:hint="eastAsia"/>
          <w:color w:val="auto"/>
          <w:sz w:val="21"/>
          <w:szCs w:val="21"/>
          <w:highlight w:val="none"/>
        </w:rPr>
        <w:t>（二）由其他单位或者其他单位负责人在投标供应商编制的投标文件上加盖印章或者签字的；</w:t>
      </w:r>
    </w:p>
    <w:p w14:paraId="4206487A">
      <w:pPr>
        <w:keepLines/>
        <w:spacing w:line="360" w:lineRule="auto"/>
        <w:ind w:firstLine="420" w:firstLineChars="200"/>
        <w:rPr>
          <w:color w:val="auto"/>
          <w:sz w:val="21"/>
          <w:szCs w:val="21"/>
          <w:highlight w:val="none"/>
        </w:rPr>
      </w:pPr>
      <w:r>
        <w:rPr>
          <w:rFonts w:hint="eastAsia"/>
          <w:color w:val="auto"/>
          <w:sz w:val="21"/>
          <w:szCs w:val="21"/>
          <w:highlight w:val="none"/>
        </w:rPr>
        <w:t>（三）项目负责人或者主要技术人员不是本单位人员的；</w:t>
      </w:r>
    </w:p>
    <w:p w14:paraId="2D49BF85">
      <w:pPr>
        <w:keepLines/>
        <w:spacing w:line="360" w:lineRule="auto"/>
        <w:ind w:firstLine="420" w:firstLineChars="200"/>
        <w:rPr>
          <w:color w:val="auto"/>
          <w:sz w:val="21"/>
          <w:szCs w:val="21"/>
          <w:highlight w:val="none"/>
        </w:rPr>
      </w:pPr>
      <w:r>
        <w:rPr>
          <w:rFonts w:hint="eastAsia"/>
          <w:color w:val="auto"/>
          <w:sz w:val="21"/>
          <w:szCs w:val="21"/>
          <w:highlight w:val="none"/>
        </w:rPr>
        <w:t>（四）投标保证金不是从投标供应商基本账户转出的；</w:t>
      </w:r>
    </w:p>
    <w:p w14:paraId="68E62D94">
      <w:pPr>
        <w:keepLines/>
        <w:spacing w:line="360" w:lineRule="auto"/>
        <w:ind w:firstLine="420" w:firstLineChars="200"/>
        <w:jc w:val="left"/>
        <w:rPr>
          <w:color w:val="auto"/>
          <w:sz w:val="21"/>
          <w:szCs w:val="21"/>
          <w:highlight w:val="none"/>
        </w:rPr>
      </w:pPr>
      <w:r>
        <w:rPr>
          <w:rFonts w:hint="eastAsia"/>
          <w:color w:val="auto"/>
          <w:sz w:val="21"/>
          <w:szCs w:val="21"/>
          <w:highlight w:val="none"/>
        </w:rPr>
        <w:t>（五）其他隐瞒真实情况、提供虚假资料的行为。</w:t>
      </w:r>
    </w:p>
    <w:p w14:paraId="0049D74E">
      <w:pPr>
        <w:keepLines/>
        <w:spacing w:line="360" w:lineRule="auto"/>
        <w:ind w:firstLine="420" w:firstLineChars="200"/>
        <w:jc w:val="left"/>
        <w:rPr>
          <w:rFonts w:ascii="黑体" w:hAnsi="黑体" w:eastAsia="黑体" w:cs="黑体"/>
          <w:bCs/>
          <w:color w:val="auto"/>
          <w:sz w:val="21"/>
          <w:szCs w:val="21"/>
          <w:highlight w:val="none"/>
        </w:rPr>
      </w:pPr>
      <w:r>
        <w:rPr>
          <w:rFonts w:hint="eastAsia"/>
          <w:color w:val="auto"/>
          <w:sz w:val="21"/>
          <w:szCs w:val="21"/>
          <w:highlight w:val="none"/>
        </w:rPr>
        <w:t>投标供应商不能提供项目负责人或者主要技术人员的劳动合同、社会保险等劳动关系证明材料的，视为存在前款第（三）项规定的情形。</w:t>
      </w:r>
    </w:p>
    <w:p w14:paraId="0D1E6D72">
      <w:pPr>
        <w:autoSpaceDE w:val="0"/>
        <w:autoSpaceDN w:val="0"/>
        <w:adjustRightInd w:val="0"/>
        <w:spacing w:line="360" w:lineRule="auto"/>
        <w:jc w:val="center"/>
        <w:rPr>
          <w:rFonts w:ascii="宋体" w:hAnsi="宋体" w:cs="仿宋_GB2312"/>
          <w:b/>
          <w:color w:val="auto"/>
          <w:kern w:val="0"/>
          <w:sz w:val="21"/>
          <w:szCs w:val="21"/>
          <w:highlight w:val="none"/>
        </w:rPr>
      </w:pPr>
      <w:r>
        <w:rPr>
          <w:rFonts w:hint="eastAsia" w:ascii="宋体" w:hAnsi="宋体" w:cs="仿宋_GB2312"/>
          <w:b/>
          <w:color w:val="auto"/>
          <w:kern w:val="0"/>
          <w:sz w:val="21"/>
          <w:szCs w:val="21"/>
          <w:highlight w:val="none"/>
        </w:rPr>
        <w:t xml:space="preserve">《中华人民共和国政府采购法实施条例》 </w:t>
      </w:r>
    </w:p>
    <w:p w14:paraId="307F36A5">
      <w:pPr>
        <w:spacing w:line="360" w:lineRule="auto"/>
        <w:ind w:firstLine="422" w:firstLineChars="200"/>
        <w:jc w:val="left"/>
        <w:rPr>
          <w:color w:val="auto"/>
          <w:sz w:val="21"/>
          <w:szCs w:val="21"/>
          <w:highlight w:val="none"/>
        </w:rPr>
      </w:pPr>
      <w:r>
        <w:rPr>
          <w:rFonts w:hint="eastAsia"/>
          <w:b/>
          <w:bCs/>
          <w:color w:val="auto"/>
          <w:sz w:val="21"/>
          <w:szCs w:val="21"/>
          <w:highlight w:val="none"/>
        </w:rPr>
        <w:t>第十八条</w:t>
      </w:r>
      <w:r>
        <w:rPr>
          <w:rFonts w:hint="eastAsia"/>
          <w:color w:val="auto"/>
          <w:sz w:val="21"/>
          <w:szCs w:val="21"/>
          <w:highlight w:val="none"/>
        </w:rPr>
        <w:t xml:space="preserve"> 单位负责人为同一人或者存在直接控股、管理关系的不同供应商，不得参加同一合同项下的政府采购活动。</w:t>
      </w:r>
    </w:p>
    <w:p w14:paraId="1A452669">
      <w:pPr>
        <w:spacing w:line="360" w:lineRule="auto"/>
        <w:ind w:firstLine="420" w:firstLineChars="200"/>
        <w:jc w:val="left"/>
        <w:rPr>
          <w:color w:val="auto"/>
          <w:sz w:val="21"/>
          <w:szCs w:val="21"/>
          <w:highlight w:val="none"/>
        </w:rPr>
      </w:pPr>
      <w:r>
        <w:rPr>
          <w:rFonts w:hint="eastAsia"/>
          <w:color w:val="auto"/>
          <w:sz w:val="21"/>
          <w:szCs w:val="21"/>
          <w:highlight w:val="none"/>
        </w:rPr>
        <w:t>除单一来源采购项目外，为采购项目提供整体设计、规范编制或者项目管理、监 理、检测等服务的供应商，不得再参加该采购项目的其他采购活动。</w:t>
      </w:r>
    </w:p>
    <w:p w14:paraId="5E600110">
      <w:pPr>
        <w:autoSpaceDE w:val="0"/>
        <w:autoSpaceDN w:val="0"/>
        <w:adjustRightInd w:val="0"/>
        <w:spacing w:line="360" w:lineRule="auto"/>
        <w:jc w:val="center"/>
        <w:rPr>
          <w:rFonts w:hint="eastAsia" w:ascii="宋体" w:hAnsi="宋体" w:cs="仿宋_GB2312"/>
          <w:b/>
          <w:color w:val="auto"/>
          <w:kern w:val="0"/>
          <w:sz w:val="21"/>
          <w:szCs w:val="21"/>
          <w:highlight w:val="none"/>
        </w:rPr>
      </w:pPr>
      <w:r>
        <w:rPr>
          <w:rFonts w:hint="eastAsia" w:ascii="宋体" w:hAnsi="宋体" w:cs="仿宋_GB2312"/>
          <w:b/>
          <w:color w:val="auto"/>
          <w:kern w:val="0"/>
          <w:sz w:val="21"/>
          <w:szCs w:val="21"/>
          <w:highlight w:val="none"/>
        </w:rPr>
        <w:t>《深圳市财政局关于采购文件增加风险告知有关事项的通知》</w:t>
      </w:r>
    </w:p>
    <w:p w14:paraId="0656B540">
      <w:pPr>
        <w:spacing w:line="360" w:lineRule="auto"/>
        <w:ind w:firstLine="420" w:firstLineChars="200"/>
        <w:jc w:val="left"/>
        <w:rPr>
          <w:color w:val="auto"/>
          <w:sz w:val="21"/>
          <w:szCs w:val="21"/>
          <w:highlight w:val="none"/>
        </w:rPr>
      </w:pPr>
      <w:r>
        <w:rPr>
          <w:rFonts w:hint="eastAsia"/>
          <w:color w:val="auto"/>
          <w:sz w:val="21"/>
          <w:szCs w:val="21"/>
          <w:highlight w:val="none"/>
        </w:rPr>
        <w:t>各投标供应商应按要求提交《政府采购违法行为风险知悉确认书》（详见第三章 投标文件格式、附件—《六、政府采购违法行为风险知悉确认书》）。该文件由负责人或投标授权代表签字并加盖单位公章后，与投标文件一并提交。</w:t>
      </w:r>
    </w:p>
    <w:p w14:paraId="47B640E5">
      <w:pPr>
        <w:pStyle w:val="21"/>
        <w:jc w:val="center"/>
        <w:rPr>
          <w:rFonts w:hint="eastAsia" w:ascii="宋体" w:hAnsi="宋体" w:eastAsia="宋体" w:cs="宋体"/>
          <w:b/>
          <w:bCs/>
          <w:color w:val="auto"/>
          <w:sz w:val="32"/>
          <w:szCs w:val="32"/>
          <w:lang w:val="en-US" w:eastAsia="zh-CN"/>
        </w:rPr>
      </w:pPr>
    </w:p>
    <w:p w14:paraId="7402A1E3">
      <w:pPr>
        <w:pStyle w:val="21"/>
        <w:rPr>
          <w:rFonts w:hint="eastAsia" w:ascii="宋体" w:hAnsi="宋体" w:eastAsia="宋体" w:cs="宋体"/>
          <w:color w:val="auto"/>
          <w:sz w:val="32"/>
          <w:szCs w:val="32"/>
        </w:rPr>
      </w:pPr>
    </w:p>
    <w:p w14:paraId="03648B06">
      <w:pPr>
        <w:pStyle w:val="21"/>
        <w:rPr>
          <w:rFonts w:hint="eastAsia" w:ascii="宋体" w:hAnsi="宋体" w:eastAsia="宋体" w:cs="宋体"/>
          <w:color w:val="auto"/>
          <w:sz w:val="32"/>
          <w:szCs w:val="32"/>
        </w:rPr>
      </w:pPr>
    </w:p>
    <w:p w14:paraId="0C066917">
      <w:pPr>
        <w:pStyle w:val="21"/>
        <w:rPr>
          <w:rFonts w:hint="eastAsia" w:ascii="宋体" w:hAnsi="宋体" w:eastAsia="宋体" w:cs="宋体"/>
          <w:color w:val="auto"/>
          <w:sz w:val="32"/>
          <w:szCs w:val="32"/>
        </w:rPr>
      </w:pPr>
    </w:p>
    <w:p w14:paraId="717BE56A">
      <w:pPr>
        <w:pStyle w:val="21"/>
        <w:rPr>
          <w:rFonts w:hint="eastAsia" w:ascii="宋体" w:hAnsi="宋体" w:eastAsia="宋体" w:cs="宋体"/>
          <w:color w:val="auto"/>
          <w:sz w:val="32"/>
          <w:szCs w:val="32"/>
        </w:rPr>
      </w:pPr>
    </w:p>
    <w:p w14:paraId="6D667EC3">
      <w:pPr>
        <w:pStyle w:val="21"/>
        <w:rPr>
          <w:rFonts w:hint="eastAsia" w:ascii="宋体" w:hAnsi="宋体" w:eastAsia="宋体" w:cs="宋体"/>
          <w:color w:val="auto"/>
          <w:sz w:val="32"/>
          <w:szCs w:val="32"/>
        </w:rPr>
      </w:pPr>
    </w:p>
    <w:p w14:paraId="0C3C5D37">
      <w:pPr>
        <w:pStyle w:val="21"/>
        <w:rPr>
          <w:rFonts w:hint="eastAsia" w:ascii="宋体" w:hAnsi="宋体" w:eastAsia="宋体" w:cs="宋体"/>
          <w:color w:val="auto"/>
          <w:sz w:val="32"/>
          <w:szCs w:val="32"/>
        </w:rPr>
      </w:pPr>
    </w:p>
    <w:p w14:paraId="77ADFDF0">
      <w:pPr>
        <w:pStyle w:val="21"/>
        <w:rPr>
          <w:rFonts w:hint="eastAsia" w:ascii="宋体" w:hAnsi="宋体" w:eastAsia="宋体" w:cs="宋体"/>
          <w:color w:val="auto"/>
          <w:sz w:val="32"/>
          <w:szCs w:val="32"/>
        </w:rPr>
      </w:pPr>
    </w:p>
    <w:p w14:paraId="6A7BD195">
      <w:pPr>
        <w:pStyle w:val="21"/>
        <w:rPr>
          <w:rFonts w:hint="eastAsia" w:ascii="宋体" w:hAnsi="宋体" w:eastAsia="宋体" w:cs="宋体"/>
          <w:color w:val="auto"/>
          <w:sz w:val="32"/>
          <w:szCs w:val="32"/>
        </w:rPr>
      </w:pPr>
    </w:p>
    <w:p w14:paraId="119A710E">
      <w:pPr>
        <w:jc w:val="center"/>
        <w:outlineLvl w:val="0"/>
        <w:rPr>
          <w:rFonts w:hint="eastAsia" w:ascii="宋体" w:hAnsi="宋体" w:cs="宋体"/>
          <w:b/>
          <w:color w:val="auto"/>
          <w:sz w:val="44"/>
          <w:szCs w:val="44"/>
          <w:highlight w:val="none"/>
        </w:rPr>
      </w:pPr>
      <w:bookmarkStart w:id="0" w:name="_Toc16640"/>
      <w:r>
        <w:rPr>
          <w:rFonts w:hint="eastAsia" w:ascii="宋体" w:hAnsi="宋体" w:cs="宋体"/>
          <w:b/>
          <w:color w:val="auto"/>
          <w:sz w:val="44"/>
          <w:szCs w:val="44"/>
          <w:highlight w:val="none"/>
        </w:rPr>
        <w:t>目 录</w:t>
      </w:r>
      <w:bookmarkEnd w:id="0"/>
    </w:p>
    <w:p w14:paraId="35DEA6CE">
      <w:pPr>
        <w:pStyle w:val="12"/>
        <w:tabs>
          <w:tab w:val="right" w:leader="dot" w:pos="9070"/>
        </w:tabs>
        <w:rPr>
          <w:sz w:val="22"/>
          <w:szCs w:val="28"/>
        </w:rPr>
      </w:pPr>
      <w:r>
        <w:rPr>
          <w:color w:val="auto"/>
          <w:highlight w:val="none"/>
        </w:rPr>
        <w:fldChar w:fldCharType="begin" w:fldLock="1"/>
      </w:r>
      <w:r>
        <w:rPr>
          <w:color w:val="auto"/>
          <w:highlight w:val="none"/>
        </w:rPr>
        <w:instrText xml:space="preserve">TOC \o "1-1" \h \u </w:instrText>
      </w:r>
      <w:r>
        <w:rPr>
          <w:color w:val="auto"/>
          <w:highlight w:val="none"/>
        </w:rPr>
        <w:fldChar w:fldCharType="separate"/>
      </w:r>
    </w:p>
    <w:p w14:paraId="3E444D16">
      <w:pPr>
        <w:pStyle w:val="12"/>
        <w:tabs>
          <w:tab w:val="right" w:leader="dot" w:pos="9070"/>
        </w:tabs>
        <w:spacing w:line="360" w:lineRule="auto"/>
        <w:jc w:val="center"/>
        <w:rPr>
          <w:rFonts w:hint="eastAsia" w:ascii="宋体" w:hAnsi="宋体" w:eastAsia="宋体" w:cs="宋体"/>
          <w:b/>
          <w:bCs/>
          <w:sz w:val="32"/>
          <w:szCs w:val="32"/>
        </w:rPr>
      </w:pPr>
      <w:r>
        <w:rPr>
          <w:rFonts w:hint="eastAsia" w:ascii="宋体" w:hAnsi="宋体" w:eastAsia="宋体" w:cs="宋体"/>
          <w:b/>
          <w:bCs/>
          <w:color w:val="auto"/>
          <w:sz w:val="32"/>
          <w:szCs w:val="32"/>
          <w:highlight w:val="none"/>
        </w:rPr>
        <w:fldChar w:fldCharType="begin" w:fldLock="1"/>
      </w:r>
      <w:r>
        <w:rPr>
          <w:rFonts w:hint="eastAsia" w:ascii="宋体" w:hAnsi="宋体" w:eastAsia="宋体" w:cs="宋体"/>
          <w:b/>
          <w:bCs/>
          <w:sz w:val="32"/>
          <w:szCs w:val="32"/>
          <w:highlight w:val="none"/>
        </w:rPr>
        <w:instrText xml:space="preserve"> HYPERLINK \l _Toc25621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第一册  专用条款</w:t>
      </w:r>
      <w:r>
        <w:rPr>
          <w:rFonts w:hint="eastAsia" w:ascii="宋体" w:hAnsi="宋体" w:eastAsia="宋体" w:cs="宋体"/>
          <w:b/>
          <w:bCs/>
          <w:color w:val="auto"/>
          <w:sz w:val="32"/>
          <w:szCs w:val="32"/>
          <w:highlight w:val="none"/>
        </w:rPr>
        <w:fldChar w:fldCharType="end"/>
      </w:r>
    </w:p>
    <w:p w14:paraId="2481CC47">
      <w:pPr>
        <w:pStyle w:val="12"/>
        <w:tabs>
          <w:tab w:val="right" w:leader="dot" w:pos="9070"/>
        </w:tabs>
        <w:spacing w:line="360" w:lineRule="auto"/>
        <w:rPr>
          <w:rFonts w:hint="eastAsia" w:ascii="宋体" w:hAnsi="宋体" w:eastAsia="宋体" w:cs="宋体"/>
          <w:sz w:val="32"/>
          <w:szCs w:val="32"/>
          <w:lang w:val="en-US" w:eastAsia="zh-CN"/>
        </w:rPr>
      </w:pPr>
      <w:r>
        <w:rPr>
          <w:rFonts w:hint="eastAsia" w:ascii="宋体" w:hAnsi="宋体" w:eastAsia="宋体" w:cs="宋体"/>
          <w:color w:val="auto"/>
          <w:sz w:val="32"/>
          <w:szCs w:val="32"/>
          <w:highlight w:val="none"/>
        </w:rPr>
        <w:fldChar w:fldCharType="begin" w:fldLock="1"/>
      </w:r>
      <w:r>
        <w:rPr>
          <w:rFonts w:hint="eastAsia" w:ascii="宋体" w:hAnsi="宋体" w:eastAsia="宋体" w:cs="宋体"/>
          <w:sz w:val="32"/>
          <w:szCs w:val="32"/>
          <w:highlight w:val="none"/>
        </w:rPr>
        <w:instrText xml:space="preserve"> HYPERLINK \l _Toc26249 </w:instrText>
      </w:r>
      <w:r>
        <w:rPr>
          <w:rFonts w:hint="eastAsia" w:ascii="宋体" w:hAnsi="宋体" w:eastAsia="宋体" w:cs="宋体"/>
          <w:sz w:val="32"/>
          <w:szCs w:val="32"/>
          <w:highlight w:val="none"/>
        </w:rPr>
        <w:fldChar w:fldCharType="separate"/>
      </w:r>
      <w:r>
        <w:rPr>
          <w:rFonts w:hint="eastAsia" w:ascii="宋体" w:hAnsi="宋体" w:eastAsia="宋体" w:cs="宋体"/>
          <w:bCs/>
          <w:sz w:val="32"/>
          <w:szCs w:val="32"/>
          <w:highlight w:val="none"/>
        </w:rPr>
        <w:t>第一章  投标邀请书</w:t>
      </w:r>
      <w:r>
        <w:rPr>
          <w:rFonts w:hint="eastAsia" w:ascii="宋体" w:hAnsi="宋体" w:eastAsia="宋体" w:cs="宋体"/>
          <w:sz w:val="32"/>
          <w:szCs w:val="32"/>
        </w:rPr>
        <w:tab/>
      </w:r>
      <w:r>
        <w:rPr>
          <w:rFonts w:hint="eastAsia" w:ascii="宋体" w:hAnsi="宋体" w:eastAsia="宋体" w:cs="宋体"/>
          <w:sz w:val="32"/>
          <w:szCs w:val="32"/>
        </w:rPr>
        <w:fldChar w:fldCharType="begin" w:fldLock="1"/>
      </w:r>
      <w:r>
        <w:rPr>
          <w:rFonts w:hint="eastAsia" w:ascii="宋体" w:hAnsi="宋体" w:eastAsia="宋体" w:cs="宋体"/>
          <w:sz w:val="32"/>
          <w:szCs w:val="32"/>
        </w:rPr>
        <w:instrText xml:space="preserve"> PAGEREF _Toc26249 \h </w:instrText>
      </w:r>
      <w:r>
        <w:rPr>
          <w:rFonts w:hint="eastAsia" w:ascii="宋体" w:hAnsi="宋体" w:eastAsia="宋体" w:cs="宋体"/>
          <w:sz w:val="32"/>
          <w:szCs w:val="32"/>
        </w:rPr>
        <w:fldChar w:fldCharType="separate"/>
      </w:r>
      <w:r>
        <w:rPr>
          <w:rFonts w:hint="eastAsia"/>
          <w:b/>
          <w:lang w:val="en-US" w:eastAsia="zh-CN"/>
        </w:rPr>
        <w:t xml:space="preserve"> </w:t>
      </w:r>
      <w:r>
        <w:rPr>
          <w:rFonts w:hint="eastAsia" w:ascii="宋体" w:hAnsi="宋体" w:eastAsia="宋体" w:cs="宋体"/>
          <w:sz w:val="32"/>
          <w:szCs w:val="32"/>
        </w:rPr>
        <w:fldChar w:fldCharType="end"/>
      </w:r>
      <w:r>
        <w:rPr>
          <w:rFonts w:hint="eastAsia" w:ascii="宋体" w:hAnsi="宋体" w:eastAsia="宋体" w:cs="宋体"/>
          <w:color w:val="auto"/>
          <w:sz w:val="32"/>
          <w:szCs w:val="32"/>
          <w:highlight w:val="none"/>
        </w:rPr>
        <w:fldChar w:fldCharType="end"/>
      </w:r>
      <w:r>
        <w:rPr>
          <w:rFonts w:hint="eastAsia" w:ascii="宋体" w:hAnsi="宋体" w:cs="宋体"/>
          <w:color w:val="auto"/>
          <w:sz w:val="32"/>
          <w:szCs w:val="32"/>
          <w:highlight w:val="none"/>
          <w:lang w:val="en-US" w:eastAsia="zh-CN"/>
        </w:rPr>
        <w:t>6</w:t>
      </w:r>
    </w:p>
    <w:p w14:paraId="17EF685C">
      <w:pPr>
        <w:pStyle w:val="12"/>
        <w:tabs>
          <w:tab w:val="right" w:leader="dot" w:pos="9070"/>
        </w:tabs>
        <w:spacing w:line="360" w:lineRule="auto"/>
        <w:rPr>
          <w:rFonts w:hint="eastAsia" w:ascii="宋体" w:hAnsi="宋体" w:eastAsia="宋体" w:cs="宋体"/>
          <w:sz w:val="32"/>
          <w:szCs w:val="32"/>
        </w:rPr>
      </w:pPr>
      <w:r>
        <w:rPr>
          <w:rFonts w:hint="eastAsia" w:ascii="宋体" w:hAnsi="宋体" w:eastAsia="宋体" w:cs="宋体"/>
          <w:color w:val="auto"/>
          <w:sz w:val="32"/>
          <w:szCs w:val="32"/>
          <w:highlight w:val="none"/>
        </w:rPr>
        <w:fldChar w:fldCharType="begin" w:fldLock="1"/>
      </w:r>
      <w:r>
        <w:rPr>
          <w:rFonts w:hint="eastAsia" w:ascii="宋体" w:hAnsi="宋体" w:eastAsia="宋体" w:cs="宋体"/>
          <w:sz w:val="32"/>
          <w:szCs w:val="32"/>
          <w:highlight w:val="none"/>
        </w:rPr>
        <w:instrText xml:space="preserve"> HYPERLINK \l _Toc23872 </w:instrText>
      </w:r>
      <w:r>
        <w:rPr>
          <w:rFonts w:hint="eastAsia" w:ascii="宋体" w:hAnsi="宋体" w:eastAsia="宋体" w:cs="宋体"/>
          <w:sz w:val="32"/>
          <w:szCs w:val="32"/>
          <w:highlight w:val="none"/>
        </w:rPr>
        <w:fldChar w:fldCharType="separate"/>
      </w:r>
      <w:r>
        <w:rPr>
          <w:rFonts w:hint="eastAsia" w:ascii="宋体" w:hAnsi="宋体" w:eastAsia="宋体" w:cs="宋体"/>
          <w:bCs/>
          <w:sz w:val="32"/>
          <w:szCs w:val="32"/>
          <w:highlight w:val="none"/>
        </w:rPr>
        <w:t>第二章  投标人须知前附表</w:t>
      </w:r>
      <w:r>
        <w:rPr>
          <w:rFonts w:hint="eastAsia" w:ascii="宋体" w:hAnsi="宋体" w:eastAsia="宋体" w:cs="宋体"/>
          <w:sz w:val="32"/>
          <w:szCs w:val="32"/>
        </w:rPr>
        <w:tab/>
      </w:r>
      <w:r>
        <w:rPr>
          <w:rFonts w:hint="eastAsia" w:ascii="宋体" w:hAnsi="宋体" w:cs="宋体"/>
          <w:sz w:val="32"/>
          <w:szCs w:val="32"/>
          <w:lang w:val="en-US" w:eastAsia="zh-CN"/>
        </w:rPr>
        <w:t>8</w:t>
      </w:r>
      <w:r>
        <w:rPr>
          <w:rFonts w:hint="eastAsia" w:ascii="宋体" w:hAnsi="宋体" w:eastAsia="宋体" w:cs="宋体"/>
          <w:color w:val="auto"/>
          <w:sz w:val="32"/>
          <w:szCs w:val="32"/>
          <w:highlight w:val="none"/>
        </w:rPr>
        <w:fldChar w:fldCharType="end"/>
      </w:r>
    </w:p>
    <w:p w14:paraId="56A20377">
      <w:pPr>
        <w:pStyle w:val="12"/>
        <w:tabs>
          <w:tab w:val="right" w:leader="dot" w:pos="9070"/>
        </w:tabs>
        <w:spacing w:line="360" w:lineRule="auto"/>
        <w:rPr>
          <w:rFonts w:hint="default" w:ascii="宋体" w:hAnsi="宋体" w:eastAsia="宋体" w:cs="宋体"/>
          <w:sz w:val="32"/>
          <w:szCs w:val="32"/>
          <w:lang w:val="en-US" w:eastAsia="zh-CN"/>
        </w:rPr>
      </w:pPr>
      <w:r>
        <w:rPr>
          <w:rFonts w:hint="eastAsia" w:ascii="宋体" w:hAnsi="宋体" w:eastAsia="宋体" w:cs="宋体"/>
          <w:color w:val="auto"/>
          <w:sz w:val="32"/>
          <w:szCs w:val="32"/>
          <w:highlight w:val="none"/>
        </w:rPr>
        <w:fldChar w:fldCharType="begin" w:fldLock="1"/>
      </w:r>
      <w:r>
        <w:rPr>
          <w:rFonts w:hint="eastAsia" w:ascii="宋体" w:hAnsi="宋体" w:eastAsia="宋体" w:cs="宋体"/>
          <w:sz w:val="32"/>
          <w:szCs w:val="32"/>
          <w:highlight w:val="none"/>
        </w:rPr>
        <w:instrText xml:space="preserve"> HYPERLINK \l _Toc88 </w:instrText>
      </w:r>
      <w:r>
        <w:rPr>
          <w:rFonts w:hint="eastAsia" w:ascii="宋体" w:hAnsi="宋体" w:eastAsia="宋体" w:cs="宋体"/>
          <w:sz w:val="32"/>
          <w:szCs w:val="32"/>
          <w:highlight w:val="none"/>
        </w:rPr>
        <w:fldChar w:fldCharType="separate"/>
      </w:r>
      <w:r>
        <w:rPr>
          <w:rFonts w:hint="eastAsia" w:ascii="宋体" w:hAnsi="宋体" w:eastAsia="宋体" w:cs="宋体"/>
          <w:bCs/>
          <w:sz w:val="32"/>
          <w:szCs w:val="32"/>
        </w:rPr>
        <w:t xml:space="preserve">第三章 </w:t>
      </w:r>
      <w:r>
        <w:rPr>
          <w:rFonts w:hint="eastAsia" w:ascii="宋体" w:hAnsi="宋体" w:cs="宋体"/>
          <w:bCs/>
          <w:sz w:val="32"/>
          <w:szCs w:val="32"/>
          <w:lang w:val="en-US" w:eastAsia="zh-CN"/>
        </w:rPr>
        <w:t xml:space="preserve"> </w:t>
      </w:r>
      <w:r>
        <w:rPr>
          <w:rFonts w:hint="eastAsia" w:ascii="宋体" w:hAnsi="宋体" w:eastAsia="宋体" w:cs="宋体"/>
          <w:bCs/>
          <w:sz w:val="32"/>
          <w:szCs w:val="32"/>
          <w:highlight w:val="none"/>
        </w:rPr>
        <w:t>供货需求一览表</w:t>
      </w:r>
      <w:r>
        <w:rPr>
          <w:rFonts w:hint="eastAsia" w:ascii="宋体" w:hAnsi="宋体" w:eastAsia="宋体" w:cs="宋体"/>
          <w:sz w:val="32"/>
          <w:szCs w:val="32"/>
        </w:rPr>
        <w:tab/>
      </w:r>
      <w:r>
        <w:rPr>
          <w:rFonts w:hint="eastAsia" w:ascii="宋体" w:hAnsi="宋体" w:eastAsia="宋体" w:cs="宋体"/>
          <w:sz w:val="32"/>
          <w:szCs w:val="32"/>
        </w:rPr>
        <w:fldChar w:fldCharType="begin" w:fldLock="1"/>
      </w:r>
      <w:r>
        <w:rPr>
          <w:rFonts w:hint="eastAsia" w:ascii="宋体" w:hAnsi="宋体" w:eastAsia="宋体" w:cs="宋体"/>
          <w:sz w:val="32"/>
          <w:szCs w:val="32"/>
        </w:rPr>
        <w:instrText xml:space="preserve"> PAGEREF _Toc88 \h </w:instrText>
      </w:r>
      <w:r>
        <w:rPr>
          <w:rFonts w:hint="eastAsia" w:ascii="宋体" w:hAnsi="宋体" w:eastAsia="宋体" w:cs="宋体"/>
          <w:sz w:val="32"/>
          <w:szCs w:val="32"/>
        </w:rPr>
        <w:fldChar w:fldCharType="separate"/>
      </w:r>
      <w:r>
        <w:rPr>
          <w:rFonts w:hint="eastAsia" w:ascii="宋体" w:hAnsi="宋体" w:eastAsia="宋体" w:cs="宋体"/>
          <w:sz w:val="32"/>
          <w:szCs w:val="32"/>
        </w:rPr>
        <w:fldChar w:fldCharType="end"/>
      </w:r>
      <w:r>
        <w:rPr>
          <w:rFonts w:hint="eastAsia" w:ascii="宋体" w:hAnsi="宋体" w:eastAsia="宋体" w:cs="宋体"/>
          <w:color w:val="auto"/>
          <w:sz w:val="32"/>
          <w:szCs w:val="32"/>
          <w:highlight w:val="none"/>
        </w:rPr>
        <w:fldChar w:fldCharType="end"/>
      </w:r>
      <w:r>
        <w:rPr>
          <w:rFonts w:hint="eastAsia" w:ascii="宋体" w:hAnsi="宋体" w:cs="宋体"/>
          <w:color w:val="auto"/>
          <w:sz w:val="32"/>
          <w:szCs w:val="32"/>
          <w:highlight w:val="none"/>
          <w:lang w:val="en-US" w:eastAsia="zh-CN"/>
        </w:rPr>
        <w:t>14</w:t>
      </w:r>
    </w:p>
    <w:p w14:paraId="6CA9C3CE">
      <w:pPr>
        <w:pStyle w:val="12"/>
        <w:tabs>
          <w:tab w:val="right" w:leader="dot" w:pos="9070"/>
        </w:tabs>
        <w:spacing w:line="360" w:lineRule="auto"/>
        <w:rPr>
          <w:rFonts w:hint="default" w:ascii="宋体" w:hAnsi="宋体" w:eastAsia="宋体" w:cs="宋体"/>
          <w:sz w:val="32"/>
          <w:szCs w:val="32"/>
          <w:lang w:val="en-US" w:eastAsia="zh-CN"/>
        </w:rPr>
      </w:pPr>
      <w:r>
        <w:rPr>
          <w:rFonts w:hint="eastAsia" w:ascii="宋体" w:hAnsi="宋体" w:eastAsia="宋体" w:cs="宋体"/>
          <w:color w:val="auto"/>
          <w:sz w:val="32"/>
          <w:szCs w:val="32"/>
          <w:highlight w:val="none"/>
        </w:rPr>
        <w:fldChar w:fldCharType="begin" w:fldLock="1"/>
      </w:r>
      <w:r>
        <w:rPr>
          <w:rFonts w:hint="eastAsia" w:ascii="宋体" w:hAnsi="宋体" w:eastAsia="宋体" w:cs="宋体"/>
          <w:sz w:val="32"/>
          <w:szCs w:val="32"/>
          <w:highlight w:val="none"/>
        </w:rPr>
        <w:instrText xml:space="preserve"> HYPERLINK \l _Toc15630 </w:instrText>
      </w:r>
      <w:r>
        <w:rPr>
          <w:rFonts w:hint="eastAsia" w:ascii="宋体" w:hAnsi="宋体" w:eastAsia="宋体" w:cs="宋体"/>
          <w:sz w:val="32"/>
          <w:szCs w:val="32"/>
          <w:highlight w:val="none"/>
        </w:rPr>
        <w:fldChar w:fldCharType="separate"/>
      </w:r>
      <w:r>
        <w:rPr>
          <w:rFonts w:hint="eastAsia" w:ascii="宋体" w:hAnsi="宋体" w:eastAsia="宋体" w:cs="宋体"/>
          <w:bCs/>
          <w:sz w:val="32"/>
          <w:szCs w:val="32"/>
        </w:rPr>
        <w:t xml:space="preserve">第四章 </w:t>
      </w:r>
      <w:r>
        <w:rPr>
          <w:rFonts w:hint="eastAsia" w:ascii="宋体" w:hAnsi="宋体" w:cs="宋体"/>
          <w:bCs/>
          <w:sz w:val="32"/>
          <w:szCs w:val="32"/>
          <w:lang w:val="en-US" w:eastAsia="zh-CN"/>
        </w:rPr>
        <w:t xml:space="preserve"> </w:t>
      </w:r>
      <w:r>
        <w:rPr>
          <w:rFonts w:hint="eastAsia" w:ascii="宋体" w:hAnsi="宋体" w:eastAsia="宋体" w:cs="宋体"/>
          <w:bCs/>
          <w:sz w:val="32"/>
          <w:szCs w:val="32"/>
          <w:highlight w:val="none"/>
        </w:rPr>
        <w:t>用户需求书</w:t>
      </w:r>
      <w:r>
        <w:rPr>
          <w:rFonts w:hint="eastAsia" w:ascii="宋体" w:hAnsi="宋体" w:eastAsia="宋体" w:cs="宋体"/>
          <w:sz w:val="32"/>
          <w:szCs w:val="32"/>
        </w:rPr>
        <w:tab/>
      </w:r>
      <w:r>
        <w:rPr>
          <w:rFonts w:hint="eastAsia" w:ascii="宋体" w:hAnsi="宋体" w:cs="宋体"/>
          <w:sz w:val="32"/>
          <w:szCs w:val="32"/>
          <w:lang w:val="en-US" w:eastAsia="zh-CN"/>
        </w:rPr>
        <w:t>1</w:t>
      </w:r>
      <w:r>
        <w:rPr>
          <w:rFonts w:hint="eastAsia" w:ascii="宋体" w:hAnsi="宋体" w:eastAsia="宋体" w:cs="宋体"/>
          <w:color w:val="auto"/>
          <w:sz w:val="32"/>
          <w:szCs w:val="32"/>
          <w:highlight w:val="none"/>
        </w:rPr>
        <w:fldChar w:fldCharType="end"/>
      </w:r>
      <w:r>
        <w:rPr>
          <w:rFonts w:hint="eastAsia" w:ascii="宋体" w:hAnsi="宋体" w:cs="宋体"/>
          <w:color w:val="auto"/>
          <w:sz w:val="32"/>
          <w:szCs w:val="32"/>
          <w:highlight w:val="none"/>
          <w:lang w:val="en-US" w:eastAsia="zh-CN"/>
        </w:rPr>
        <w:t>5</w:t>
      </w:r>
    </w:p>
    <w:p w14:paraId="16D07E31">
      <w:pPr>
        <w:pStyle w:val="12"/>
        <w:tabs>
          <w:tab w:val="right" w:leader="dot" w:pos="9070"/>
        </w:tabs>
        <w:spacing w:line="360" w:lineRule="auto"/>
        <w:rPr>
          <w:rFonts w:hint="eastAsia" w:ascii="宋体" w:hAnsi="宋体" w:eastAsia="宋体" w:cs="宋体"/>
          <w:sz w:val="32"/>
          <w:szCs w:val="32"/>
          <w:lang w:val="en-US" w:eastAsia="zh-CN"/>
        </w:rPr>
      </w:pPr>
      <w:r>
        <w:rPr>
          <w:rFonts w:hint="eastAsia" w:ascii="宋体" w:hAnsi="宋体" w:eastAsia="宋体" w:cs="宋体"/>
          <w:color w:val="auto"/>
          <w:sz w:val="32"/>
          <w:szCs w:val="32"/>
          <w:highlight w:val="none"/>
        </w:rPr>
        <w:fldChar w:fldCharType="begin" w:fldLock="1"/>
      </w:r>
      <w:r>
        <w:rPr>
          <w:rFonts w:hint="eastAsia" w:ascii="宋体" w:hAnsi="宋体" w:eastAsia="宋体" w:cs="宋体"/>
          <w:sz w:val="32"/>
          <w:szCs w:val="32"/>
          <w:highlight w:val="none"/>
        </w:rPr>
        <w:instrText xml:space="preserve"> HYPERLINK \l _Toc8672 </w:instrText>
      </w:r>
      <w:r>
        <w:rPr>
          <w:rFonts w:hint="eastAsia" w:ascii="宋体" w:hAnsi="宋体" w:eastAsia="宋体" w:cs="宋体"/>
          <w:sz w:val="32"/>
          <w:szCs w:val="32"/>
          <w:highlight w:val="none"/>
        </w:rPr>
        <w:fldChar w:fldCharType="separate"/>
      </w:r>
      <w:r>
        <w:rPr>
          <w:rFonts w:hint="eastAsia" w:ascii="宋体" w:hAnsi="宋体" w:eastAsia="宋体" w:cs="宋体"/>
          <w:bCs/>
          <w:sz w:val="32"/>
          <w:szCs w:val="32"/>
        </w:rPr>
        <w:t xml:space="preserve">第五章 </w:t>
      </w:r>
      <w:r>
        <w:rPr>
          <w:rFonts w:hint="eastAsia" w:ascii="宋体" w:hAnsi="宋体" w:cs="宋体"/>
          <w:bCs/>
          <w:sz w:val="32"/>
          <w:szCs w:val="32"/>
          <w:lang w:val="en-US" w:eastAsia="zh-CN"/>
        </w:rPr>
        <w:t xml:space="preserve"> </w:t>
      </w:r>
      <w:r>
        <w:rPr>
          <w:rFonts w:hint="eastAsia" w:ascii="宋体" w:hAnsi="宋体" w:eastAsia="宋体" w:cs="宋体"/>
          <w:bCs/>
          <w:sz w:val="32"/>
          <w:szCs w:val="32"/>
          <w:highlight w:val="none"/>
        </w:rPr>
        <w:t>投标文件格式</w:t>
      </w:r>
      <w:r>
        <w:rPr>
          <w:rFonts w:hint="eastAsia" w:ascii="宋体" w:hAnsi="宋体" w:eastAsia="宋体" w:cs="宋体"/>
          <w:sz w:val="32"/>
          <w:szCs w:val="32"/>
        </w:rPr>
        <w:tab/>
      </w:r>
      <w:r>
        <w:rPr>
          <w:rFonts w:hint="eastAsia" w:ascii="宋体" w:hAnsi="宋体" w:cs="宋体"/>
          <w:sz w:val="32"/>
          <w:szCs w:val="32"/>
          <w:lang w:val="en-US" w:eastAsia="zh-CN"/>
        </w:rPr>
        <w:t>1</w:t>
      </w:r>
      <w:r>
        <w:rPr>
          <w:rFonts w:hint="eastAsia" w:ascii="宋体" w:hAnsi="宋体" w:eastAsia="宋体" w:cs="宋体"/>
          <w:color w:val="auto"/>
          <w:sz w:val="32"/>
          <w:szCs w:val="32"/>
          <w:highlight w:val="none"/>
        </w:rPr>
        <w:fldChar w:fldCharType="end"/>
      </w:r>
      <w:r>
        <w:rPr>
          <w:rFonts w:hint="eastAsia" w:ascii="宋体" w:hAnsi="宋体" w:cs="宋体"/>
          <w:color w:val="auto"/>
          <w:sz w:val="32"/>
          <w:szCs w:val="32"/>
          <w:highlight w:val="none"/>
          <w:lang w:val="en-US" w:eastAsia="zh-CN"/>
        </w:rPr>
        <w:t>9</w:t>
      </w:r>
    </w:p>
    <w:p w14:paraId="465D0E25">
      <w:pPr>
        <w:pStyle w:val="12"/>
        <w:tabs>
          <w:tab w:val="right" w:leader="dot" w:pos="9070"/>
        </w:tabs>
        <w:spacing w:line="360" w:lineRule="auto"/>
        <w:jc w:val="center"/>
        <w:rPr>
          <w:rFonts w:hint="eastAsia" w:ascii="宋体" w:hAnsi="宋体" w:eastAsia="宋体" w:cs="宋体"/>
          <w:b/>
          <w:bCs/>
          <w:sz w:val="32"/>
          <w:szCs w:val="32"/>
        </w:rPr>
      </w:pPr>
      <w:r>
        <w:rPr>
          <w:rFonts w:hint="eastAsia" w:ascii="宋体" w:hAnsi="宋体" w:eastAsia="宋体" w:cs="宋体"/>
          <w:b/>
          <w:bCs/>
          <w:color w:val="auto"/>
          <w:sz w:val="32"/>
          <w:szCs w:val="32"/>
          <w:highlight w:val="none"/>
        </w:rPr>
        <w:fldChar w:fldCharType="begin" w:fldLock="1"/>
      </w:r>
      <w:r>
        <w:rPr>
          <w:rFonts w:hint="eastAsia" w:ascii="宋体" w:hAnsi="宋体" w:eastAsia="宋体" w:cs="宋体"/>
          <w:b/>
          <w:bCs/>
          <w:sz w:val="32"/>
          <w:szCs w:val="32"/>
          <w:highlight w:val="none"/>
        </w:rPr>
        <w:instrText xml:space="preserve"> HYPERLINK \l _Toc2463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第二册  通用条款</w:t>
      </w:r>
      <w:r>
        <w:rPr>
          <w:rFonts w:hint="eastAsia" w:ascii="宋体" w:hAnsi="宋体" w:eastAsia="宋体" w:cs="宋体"/>
          <w:b/>
          <w:bCs/>
          <w:color w:val="auto"/>
          <w:sz w:val="32"/>
          <w:szCs w:val="32"/>
          <w:highlight w:val="none"/>
        </w:rPr>
        <w:fldChar w:fldCharType="end"/>
      </w:r>
    </w:p>
    <w:p w14:paraId="205D9816">
      <w:pPr>
        <w:pStyle w:val="12"/>
        <w:tabs>
          <w:tab w:val="right" w:leader="dot" w:pos="9070"/>
        </w:tabs>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fldLock="1"/>
      </w:r>
      <w:r>
        <w:rPr>
          <w:rFonts w:hint="eastAsia" w:ascii="宋体" w:hAnsi="宋体" w:eastAsia="宋体" w:cs="宋体"/>
          <w:sz w:val="32"/>
          <w:szCs w:val="32"/>
          <w:highlight w:val="none"/>
        </w:rPr>
        <w:instrText xml:space="preserve"> HYPERLINK \l _Toc12349 </w:instrText>
      </w:r>
      <w:r>
        <w:rPr>
          <w:rFonts w:hint="eastAsia" w:ascii="宋体" w:hAnsi="宋体" w:eastAsia="宋体" w:cs="宋体"/>
          <w:sz w:val="32"/>
          <w:szCs w:val="32"/>
          <w:highlight w:val="none"/>
        </w:rPr>
        <w:fldChar w:fldCharType="separate"/>
      </w:r>
      <w:r>
        <w:rPr>
          <w:rFonts w:hint="eastAsia" w:ascii="宋体" w:hAnsi="宋体" w:eastAsia="宋体" w:cs="宋体"/>
          <w:bCs/>
          <w:sz w:val="32"/>
          <w:szCs w:val="32"/>
          <w:highlight w:val="none"/>
        </w:rPr>
        <w:t>第一章  投标人须知</w:t>
      </w:r>
      <w:r>
        <w:rPr>
          <w:rFonts w:hint="eastAsia" w:ascii="宋体" w:hAnsi="宋体" w:eastAsia="宋体" w:cs="宋体"/>
          <w:sz w:val="32"/>
          <w:szCs w:val="32"/>
        </w:rPr>
        <w:tab/>
      </w:r>
      <w:r>
        <w:rPr>
          <w:rFonts w:hint="eastAsia" w:ascii="宋体" w:hAnsi="宋体" w:eastAsia="宋体" w:cs="宋体"/>
          <w:sz w:val="32"/>
          <w:szCs w:val="32"/>
        </w:rPr>
        <w:fldChar w:fldCharType="begin" w:fldLock="1"/>
      </w:r>
      <w:r>
        <w:rPr>
          <w:rFonts w:hint="eastAsia" w:ascii="宋体" w:hAnsi="宋体" w:eastAsia="宋体" w:cs="宋体"/>
          <w:sz w:val="32"/>
          <w:szCs w:val="32"/>
        </w:rPr>
        <w:instrText xml:space="preserve"> PAGEREF _Toc12349 \h </w:instrText>
      </w:r>
      <w:r>
        <w:rPr>
          <w:rFonts w:hint="eastAsia" w:ascii="宋体" w:hAnsi="宋体" w:eastAsia="宋体" w:cs="宋体"/>
          <w:sz w:val="32"/>
          <w:szCs w:val="32"/>
        </w:rPr>
        <w:fldChar w:fldCharType="separate"/>
      </w:r>
      <w:r>
        <w:rPr>
          <w:rFonts w:hint="eastAsia" w:ascii="宋体" w:hAnsi="宋体" w:eastAsia="宋体" w:cs="宋体"/>
          <w:sz w:val="32"/>
          <w:szCs w:val="32"/>
        </w:rPr>
        <w:t>37</w:t>
      </w:r>
      <w:r>
        <w:rPr>
          <w:rFonts w:hint="eastAsia" w:ascii="宋体" w:hAnsi="宋体" w:eastAsia="宋体" w:cs="宋体"/>
          <w:sz w:val="32"/>
          <w:szCs w:val="32"/>
        </w:rPr>
        <w:fldChar w:fldCharType="end"/>
      </w:r>
      <w:r>
        <w:rPr>
          <w:rFonts w:hint="eastAsia" w:ascii="宋体" w:hAnsi="宋体" w:eastAsia="宋体" w:cs="宋体"/>
          <w:color w:val="auto"/>
          <w:sz w:val="32"/>
          <w:szCs w:val="32"/>
          <w:highlight w:val="none"/>
        </w:rPr>
        <w:fldChar w:fldCharType="end"/>
      </w:r>
    </w:p>
    <w:p w14:paraId="77460E58">
      <w:pPr>
        <w:rPr>
          <w:rFonts w:hint="eastAsia"/>
        </w:rPr>
      </w:pPr>
    </w:p>
    <w:p w14:paraId="48CCE595">
      <w:pPr>
        <w:widowControl/>
        <w:tabs>
          <w:tab w:val="left" w:pos="8640"/>
        </w:tabs>
        <w:autoSpaceDE w:val="0"/>
        <w:autoSpaceDN w:val="0"/>
        <w:adjustRightInd w:val="0"/>
        <w:snapToGrid w:val="0"/>
        <w:spacing w:line="400" w:lineRule="exact"/>
        <w:ind w:right="-34"/>
        <w:jc w:val="left"/>
        <w:textAlignment w:val="bottom"/>
        <w:rPr>
          <w:rFonts w:hint="eastAsia" w:ascii="宋体" w:hAnsi="宋体" w:cs="宋体"/>
          <w:b/>
          <w:bCs/>
          <w:color w:val="auto"/>
          <w:sz w:val="24"/>
          <w:highlight w:val="none"/>
        </w:rPr>
      </w:pPr>
      <w:r>
        <w:rPr>
          <w:color w:val="auto"/>
          <w:highlight w:val="none"/>
        </w:rPr>
        <w:fldChar w:fldCharType="end"/>
      </w:r>
    </w:p>
    <w:p w14:paraId="557B55AC">
      <w:pPr>
        <w:pStyle w:val="4"/>
        <w:spacing w:line="360" w:lineRule="auto"/>
        <w:rPr>
          <w:rFonts w:hint="eastAsia" w:ascii="宋体" w:hAnsi="宋体" w:eastAsia="宋体" w:cs="宋体"/>
          <w:b/>
          <w:bCs/>
          <w:color w:val="auto"/>
          <w:sz w:val="32"/>
          <w:szCs w:val="32"/>
        </w:rPr>
      </w:pPr>
    </w:p>
    <w:p w14:paraId="5CE210E2">
      <w:pPr>
        <w:rPr>
          <w:rFonts w:hint="eastAsia" w:ascii="宋体" w:hAnsi="宋体" w:eastAsia="宋体" w:cs="宋体"/>
          <w:b/>
          <w:bCs/>
          <w:color w:val="auto"/>
          <w:sz w:val="32"/>
          <w:szCs w:val="32"/>
        </w:rPr>
      </w:pPr>
    </w:p>
    <w:p w14:paraId="066619EF">
      <w:pPr>
        <w:rPr>
          <w:rFonts w:hint="eastAsia" w:ascii="宋体" w:hAnsi="宋体" w:eastAsia="宋体" w:cs="宋体"/>
          <w:b/>
          <w:bCs/>
          <w:color w:val="auto"/>
          <w:sz w:val="32"/>
          <w:szCs w:val="32"/>
        </w:rPr>
      </w:pPr>
    </w:p>
    <w:p w14:paraId="099A10CE">
      <w:pPr>
        <w:rPr>
          <w:rFonts w:hint="eastAsia" w:ascii="宋体" w:hAnsi="宋体" w:eastAsia="宋体" w:cs="宋体"/>
          <w:b/>
          <w:bCs/>
          <w:color w:val="auto"/>
          <w:sz w:val="32"/>
          <w:szCs w:val="32"/>
        </w:rPr>
      </w:pPr>
    </w:p>
    <w:p w14:paraId="6D8383E8">
      <w:pPr>
        <w:rPr>
          <w:rFonts w:hint="eastAsia" w:ascii="宋体" w:hAnsi="宋体" w:eastAsia="宋体" w:cs="宋体"/>
          <w:b/>
          <w:bCs/>
          <w:color w:val="auto"/>
          <w:sz w:val="32"/>
          <w:szCs w:val="32"/>
        </w:rPr>
      </w:pPr>
    </w:p>
    <w:p w14:paraId="251F5BF0">
      <w:pPr>
        <w:rPr>
          <w:rFonts w:hint="eastAsia" w:ascii="宋体" w:hAnsi="宋体" w:eastAsia="宋体" w:cs="宋体"/>
          <w:b/>
          <w:bCs/>
          <w:color w:val="auto"/>
          <w:sz w:val="32"/>
          <w:szCs w:val="32"/>
        </w:rPr>
      </w:pPr>
    </w:p>
    <w:p w14:paraId="0B80218B">
      <w:pPr>
        <w:rPr>
          <w:rFonts w:hint="eastAsia" w:ascii="宋体" w:hAnsi="宋体" w:eastAsia="宋体" w:cs="宋体"/>
          <w:b/>
          <w:bCs/>
          <w:color w:val="auto"/>
          <w:sz w:val="32"/>
          <w:szCs w:val="32"/>
        </w:rPr>
      </w:pPr>
    </w:p>
    <w:p w14:paraId="7E343275">
      <w:pPr>
        <w:rPr>
          <w:rFonts w:hint="eastAsia" w:ascii="宋体" w:hAnsi="宋体" w:eastAsia="宋体" w:cs="宋体"/>
          <w:b/>
          <w:bCs/>
          <w:color w:val="auto"/>
          <w:sz w:val="32"/>
          <w:szCs w:val="32"/>
        </w:rPr>
      </w:pPr>
    </w:p>
    <w:p w14:paraId="0389D9B8">
      <w:pPr>
        <w:rPr>
          <w:rFonts w:hint="eastAsia" w:ascii="宋体" w:hAnsi="宋体" w:eastAsia="宋体" w:cs="宋体"/>
          <w:b/>
          <w:bCs/>
          <w:color w:val="auto"/>
          <w:sz w:val="32"/>
          <w:szCs w:val="32"/>
        </w:rPr>
      </w:pPr>
    </w:p>
    <w:p w14:paraId="4F278C9C">
      <w:pPr>
        <w:rPr>
          <w:rFonts w:hint="eastAsia" w:ascii="宋体" w:hAnsi="宋体" w:eastAsia="宋体" w:cs="宋体"/>
          <w:b/>
          <w:bCs/>
          <w:color w:val="auto"/>
          <w:sz w:val="32"/>
          <w:szCs w:val="32"/>
        </w:rPr>
      </w:pPr>
    </w:p>
    <w:p w14:paraId="0CB508F1">
      <w:pPr>
        <w:rPr>
          <w:rFonts w:hint="eastAsia" w:ascii="宋体" w:hAnsi="宋体" w:eastAsia="宋体" w:cs="宋体"/>
          <w:b/>
          <w:bCs/>
          <w:color w:val="auto"/>
          <w:sz w:val="32"/>
          <w:szCs w:val="32"/>
        </w:rPr>
      </w:pPr>
    </w:p>
    <w:p w14:paraId="42D010F1">
      <w:pPr>
        <w:rPr>
          <w:rFonts w:hint="eastAsia" w:ascii="宋体" w:hAnsi="宋体" w:eastAsia="宋体" w:cs="宋体"/>
          <w:b/>
          <w:bCs/>
          <w:color w:val="auto"/>
          <w:sz w:val="32"/>
          <w:szCs w:val="32"/>
        </w:rPr>
      </w:pPr>
    </w:p>
    <w:p w14:paraId="3212B520">
      <w:pPr>
        <w:rPr>
          <w:rFonts w:hint="eastAsia" w:ascii="宋体" w:hAnsi="宋体" w:eastAsia="宋体" w:cs="宋体"/>
          <w:b/>
          <w:bCs/>
          <w:color w:val="auto"/>
          <w:sz w:val="32"/>
          <w:szCs w:val="32"/>
        </w:rPr>
      </w:pPr>
    </w:p>
    <w:p w14:paraId="6FB16FEE">
      <w:pPr>
        <w:rPr>
          <w:rFonts w:hint="eastAsia" w:ascii="宋体" w:hAnsi="宋体" w:eastAsia="宋体" w:cs="宋体"/>
          <w:b/>
          <w:bCs/>
          <w:color w:val="auto"/>
          <w:sz w:val="32"/>
          <w:szCs w:val="32"/>
        </w:rPr>
      </w:pPr>
    </w:p>
    <w:p w14:paraId="166AFBC6">
      <w:pPr>
        <w:rPr>
          <w:rFonts w:hint="eastAsia" w:ascii="宋体" w:hAnsi="宋体" w:eastAsia="宋体" w:cs="宋体"/>
          <w:b/>
          <w:bCs/>
          <w:color w:val="auto"/>
          <w:sz w:val="32"/>
          <w:szCs w:val="32"/>
        </w:rPr>
      </w:pPr>
    </w:p>
    <w:p w14:paraId="68B68EC1">
      <w:pPr>
        <w:rPr>
          <w:rFonts w:hint="eastAsia" w:ascii="宋体" w:hAnsi="宋体" w:eastAsia="宋体" w:cs="宋体"/>
          <w:b/>
          <w:bCs/>
          <w:color w:val="auto"/>
          <w:sz w:val="32"/>
          <w:szCs w:val="32"/>
        </w:rPr>
      </w:pPr>
    </w:p>
    <w:p w14:paraId="2E6FEA57">
      <w:pPr>
        <w:rPr>
          <w:rFonts w:hint="eastAsia" w:ascii="宋体" w:hAnsi="宋体" w:eastAsia="宋体" w:cs="宋体"/>
          <w:b/>
          <w:bCs/>
          <w:color w:val="auto"/>
          <w:sz w:val="32"/>
          <w:szCs w:val="32"/>
        </w:rPr>
      </w:pPr>
    </w:p>
    <w:p w14:paraId="62319E66">
      <w:pPr>
        <w:rPr>
          <w:rFonts w:hint="eastAsia" w:ascii="宋体" w:hAnsi="宋体" w:eastAsia="宋体" w:cs="宋体"/>
          <w:b/>
          <w:bCs/>
          <w:color w:val="auto"/>
          <w:sz w:val="32"/>
          <w:szCs w:val="32"/>
        </w:rPr>
      </w:pPr>
    </w:p>
    <w:p w14:paraId="3C95710D">
      <w:pPr>
        <w:rPr>
          <w:rFonts w:hint="eastAsia" w:ascii="宋体" w:hAnsi="宋体" w:eastAsia="宋体" w:cs="宋体"/>
          <w:b/>
          <w:bCs/>
          <w:color w:val="auto"/>
          <w:sz w:val="32"/>
          <w:szCs w:val="32"/>
        </w:rPr>
      </w:pPr>
    </w:p>
    <w:p w14:paraId="0830781D">
      <w:pPr>
        <w:jc w:val="center"/>
        <w:outlineLvl w:val="0"/>
        <w:rPr>
          <w:rFonts w:hint="eastAsia" w:ascii="宋体" w:hAnsi="宋体" w:cs="宋体"/>
          <w:b/>
          <w:color w:val="auto"/>
          <w:sz w:val="52"/>
          <w:szCs w:val="52"/>
          <w:highlight w:val="none"/>
        </w:rPr>
      </w:pPr>
      <w:bookmarkStart w:id="1" w:name="_Toc32166"/>
      <w:bookmarkStart w:id="2" w:name="_Toc25621"/>
      <w:r>
        <w:rPr>
          <w:rFonts w:hint="eastAsia" w:ascii="宋体" w:hAnsi="宋体" w:cs="宋体"/>
          <w:b/>
          <w:color w:val="auto"/>
          <w:sz w:val="52"/>
          <w:szCs w:val="52"/>
          <w:highlight w:val="none"/>
        </w:rPr>
        <w:t>第一册  专用条款</w:t>
      </w:r>
      <w:bookmarkEnd w:id="1"/>
      <w:bookmarkEnd w:id="2"/>
    </w:p>
    <w:p w14:paraId="7C48C51B">
      <w:pPr>
        <w:rPr>
          <w:rFonts w:hint="eastAsia" w:ascii="宋体" w:hAnsi="宋体" w:eastAsia="宋体" w:cs="宋体"/>
          <w:b/>
          <w:bCs/>
          <w:color w:val="auto"/>
          <w:sz w:val="32"/>
          <w:szCs w:val="32"/>
        </w:rPr>
      </w:pPr>
    </w:p>
    <w:p w14:paraId="10C23D48">
      <w:pPr>
        <w:rPr>
          <w:rFonts w:hint="eastAsia" w:ascii="宋体" w:hAnsi="宋体" w:eastAsia="宋体" w:cs="宋体"/>
          <w:b/>
          <w:bCs/>
          <w:color w:val="auto"/>
          <w:sz w:val="32"/>
          <w:szCs w:val="32"/>
        </w:rPr>
      </w:pPr>
    </w:p>
    <w:p w14:paraId="794A60D0">
      <w:pPr>
        <w:rPr>
          <w:rFonts w:hint="eastAsia" w:ascii="宋体" w:hAnsi="宋体" w:eastAsia="宋体" w:cs="宋体"/>
          <w:b/>
          <w:bCs/>
          <w:color w:val="auto"/>
          <w:sz w:val="32"/>
          <w:szCs w:val="32"/>
        </w:rPr>
      </w:pPr>
    </w:p>
    <w:p w14:paraId="746E5B27">
      <w:pPr>
        <w:rPr>
          <w:rFonts w:hint="eastAsia" w:ascii="宋体" w:hAnsi="宋体" w:eastAsia="宋体" w:cs="宋体"/>
          <w:b/>
          <w:bCs/>
          <w:color w:val="auto"/>
          <w:sz w:val="32"/>
          <w:szCs w:val="32"/>
        </w:rPr>
      </w:pPr>
    </w:p>
    <w:p w14:paraId="7DD4D6B6">
      <w:pPr>
        <w:rPr>
          <w:rFonts w:hint="eastAsia" w:ascii="宋体" w:hAnsi="宋体" w:eastAsia="宋体" w:cs="宋体"/>
          <w:b/>
          <w:bCs/>
          <w:color w:val="auto"/>
          <w:sz w:val="32"/>
          <w:szCs w:val="32"/>
        </w:rPr>
      </w:pPr>
    </w:p>
    <w:p w14:paraId="32677665">
      <w:pPr>
        <w:rPr>
          <w:rFonts w:hint="eastAsia" w:ascii="宋体" w:hAnsi="宋体" w:eastAsia="宋体" w:cs="宋体"/>
          <w:b/>
          <w:bCs/>
          <w:color w:val="auto"/>
          <w:sz w:val="32"/>
          <w:szCs w:val="32"/>
        </w:rPr>
      </w:pPr>
    </w:p>
    <w:p w14:paraId="24060EB3">
      <w:pPr>
        <w:rPr>
          <w:rFonts w:hint="eastAsia" w:ascii="宋体" w:hAnsi="宋体" w:eastAsia="宋体" w:cs="宋体"/>
          <w:b/>
          <w:bCs/>
          <w:color w:val="auto"/>
          <w:sz w:val="32"/>
          <w:szCs w:val="32"/>
        </w:rPr>
      </w:pPr>
    </w:p>
    <w:p w14:paraId="3BF9FC74">
      <w:pPr>
        <w:rPr>
          <w:rFonts w:hint="eastAsia" w:ascii="宋体" w:hAnsi="宋体" w:eastAsia="宋体" w:cs="宋体"/>
          <w:b/>
          <w:bCs/>
          <w:color w:val="auto"/>
          <w:sz w:val="32"/>
          <w:szCs w:val="32"/>
        </w:rPr>
      </w:pPr>
    </w:p>
    <w:p w14:paraId="01C5B539">
      <w:pPr>
        <w:rPr>
          <w:rFonts w:hint="eastAsia" w:ascii="宋体" w:hAnsi="宋体" w:eastAsia="宋体" w:cs="宋体"/>
          <w:b/>
          <w:bCs/>
          <w:color w:val="auto"/>
          <w:sz w:val="32"/>
          <w:szCs w:val="32"/>
        </w:rPr>
      </w:pPr>
    </w:p>
    <w:p w14:paraId="4474BC4D">
      <w:pPr>
        <w:rPr>
          <w:rFonts w:hint="eastAsia" w:ascii="宋体" w:hAnsi="宋体" w:eastAsia="宋体" w:cs="宋体"/>
          <w:b/>
          <w:bCs/>
          <w:color w:val="auto"/>
          <w:sz w:val="32"/>
          <w:szCs w:val="32"/>
        </w:rPr>
      </w:pPr>
    </w:p>
    <w:p w14:paraId="5352ACC3">
      <w:pPr>
        <w:rPr>
          <w:rFonts w:hint="eastAsia" w:ascii="宋体" w:hAnsi="宋体" w:eastAsia="宋体" w:cs="宋体"/>
          <w:b/>
          <w:bCs/>
          <w:color w:val="auto"/>
          <w:sz w:val="32"/>
          <w:szCs w:val="32"/>
        </w:rPr>
      </w:pPr>
    </w:p>
    <w:p w14:paraId="25823F8F">
      <w:pPr>
        <w:rPr>
          <w:rFonts w:hint="eastAsia" w:ascii="宋体" w:hAnsi="宋体" w:eastAsia="宋体" w:cs="宋体"/>
          <w:b/>
          <w:bCs/>
          <w:color w:val="auto"/>
          <w:sz w:val="32"/>
          <w:szCs w:val="32"/>
        </w:rPr>
      </w:pPr>
    </w:p>
    <w:p w14:paraId="119BEBF0">
      <w:pPr>
        <w:rPr>
          <w:rFonts w:hint="eastAsia" w:ascii="宋体" w:hAnsi="宋体" w:eastAsia="宋体" w:cs="宋体"/>
          <w:b/>
          <w:bCs/>
          <w:color w:val="auto"/>
          <w:sz w:val="32"/>
          <w:szCs w:val="32"/>
        </w:rPr>
      </w:pPr>
    </w:p>
    <w:p w14:paraId="16590474">
      <w:pPr>
        <w:pStyle w:val="4"/>
        <w:spacing w:line="360" w:lineRule="auto"/>
        <w:rPr>
          <w:rFonts w:hint="eastAsia" w:ascii="宋体" w:hAnsi="宋体" w:eastAsia="宋体" w:cs="宋体"/>
          <w:color w:val="auto"/>
          <w:kern w:val="0"/>
          <w:sz w:val="24"/>
          <w:szCs w:val="24"/>
        </w:rPr>
      </w:pPr>
      <w:r>
        <w:rPr>
          <w:rFonts w:hint="eastAsia" w:ascii="宋体" w:hAnsi="宋体" w:eastAsia="宋体" w:cs="宋体"/>
          <w:b/>
          <w:bCs/>
          <w:color w:val="auto"/>
          <w:sz w:val="36"/>
          <w:szCs w:val="36"/>
        </w:rPr>
        <w:t>第一章</w:t>
      </w:r>
      <w:r>
        <w:rPr>
          <w:rFonts w:hint="eastAsia" w:ascii="宋体" w:hAnsi="宋体" w:eastAsia="宋体" w:cs="宋体"/>
          <w:b/>
          <w:bCs/>
          <w:color w:val="auto"/>
          <w:sz w:val="36"/>
          <w:szCs w:val="36"/>
          <w:lang w:val="en-US" w:eastAsia="zh-CN"/>
        </w:rPr>
        <w:t xml:space="preserve"> 投标邀请书</w:t>
      </w:r>
    </w:p>
    <w:p w14:paraId="4EEF9B97">
      <w:pPr>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根据</w:t>
      </w:r>
      <w:r>
        <w:rPr>
          <w:rFonts w:hint="eastAsia" w:ascii="宋体" w:hAnsi="宋体" w:eastAsia="宋体" w:cs="宋体"/>
          <w:color w:val="auto"/>
          <w:sz w:val="24"/>
          <w:szCs w:val="24"/>
        </w:rPr>
        <w:t>《中华人民共和国招标投标法》《中华人民共和国政府采购法》《深圳经济特区政府采购条例》等文件</w:t>
      </w:r>
      <w:r>
        <w:rPr>
          <w:rFonts w:hint="eastAsia" w:ascii="宋体" w:hAnsi="宋体" w:eastAsia="宋体" w:cs="宋体"/>
          <w:color w:val="auto"/>
          <w:kern w:val="0"/>
          <w:sz w:val="24"/>
          <w:szCs w:val="24"/>
        </w:rPr>
        <w:t>的有关规定，深圳</w:t>
      </w:r>
      <w:r>
        <w:rPr>
          <w:rFonts w:hint="eastAsia" w:ascii="宋体" w:hAnsi="宋体" w:eastAsia="宋体" w:cs="宋体"/>
          <w:color w:val="auto"/>
          <w:kern w:val="0"/>
          <w:sz w:val="24"/>
          <w:szCs w:val="24"/>
          <w:lang w:val="en-US" w:eastAsia="zh-CN"/>
        </w:rPr>
        <w:t>市第二实验学校明远高中</w:t>
      </w:r>
      <w:r>
        <w:rPr>
          <w:rFonts w:hint="eastAsia" w:ascii="宋体" w:hAnsi="宋体" w:eastAsia="宋体" w:cs="宋体"/>
          <w:color w:val="auto"/>
          <w:kern w:val="0"/>
          <w:sz w:val="24"/>
          <w:szCs w:val="24"/>
        </w:rPr>
        <w:t>就下列</w:t>
      </w:r>
      <w:r>
        <w:rPr>
          <w:rFonts w:hint="eastAsia" w:ascii="宋体" w:hAnsi="宋体" w:eastAsia="宋体" w:cs="宋体"/>
          <w:color w:val="auto"/>
          <w:sz w:val="24"/>
          <w:szCs w:val="24"/>
        </w:rPr>
        <w:t>项目</w:t>
      </w:r>
      <w:r>
        <w:rPr>
          <w:rFonts w:hint="eastAsia" w:ascii="宋体" w:hAnsi="宋体" w:eastAsia="宋体" w:cs="宋体"/>
          <w:color w:val="auto"/>
          <w:kern w:val="0"/>
          <w:sz w:val="24"/>
          <w:szCs w:val="24"/>
        </w:rPr>
        <w:t>进行公开招标，欢迎符合资格的供应商参加投标。</w:t>
      </w:r>
    </w:p>
    <w:p w14:paraId="0CEDB4F0">
      <w:pPr>
        <w:pageBreakBefore w:val="0"/>
        <w:kinsoku/>
        <w:wordWrap/>
        <w:overflowPunct/>
        <w:topLinePunct w:val="0"/>
        <w:bidi w:val="0"/>
        <w:snapToGrid/>
        <w:spacing w:line="360" w:lineRule="auto"/>
        <w:textAlignment w:val="auto"/>
        <w:rPr>
          <w:rFonts w:hint="default" w:ascii="宋体" w:hAnsi="宋体" w:eastAsia="宋体" w:cs="宋体"/>
          <w:b/>
          <w:bCs/>
          <w:color w:val="auto"/>
          <w:kern w:val="0"/>
          <w:sz w:val="24"/>
          <w:szCs w:val="24"/>
          <w:lang w:val="en-US" w:eastAsia="zh-CN"/>
        </w:rPr>
      </w:pPr>
      <w:r>
        <w:rPr>
          <w:rFonts w:hint="eastAsia" w:ascii="宋体" w:hAnsi="宋体" w:eastAsia="宋体" w:cs="宋体"/>
          <w:color w:val="auto"/>
          <w:kern w:val="0"/>
          <w:sz w:val="24"/>
          <w:szCs w:val="24"/>
          <w:lang w:val="en-US" w:eastAsia="zh-CN"/>
        </w:rPr>
        <w:t>一、</w:t>
      </w:r>
      <w:r>
        <w:rPr>
          <w:rFonts w:hint="eastAsia" w:ascii="宋体" w:hAnsi="宋体" w:eastAsia="宋体" w:cs="宋体"/>
          <w:b/>
          <w:bCs/>
          <w:color w:val="auto"/>
          <w:kern w:val="0"/>
          <w:sz w:val="24"/>
          <w:szCs w:val="24"/>
          <w:lang w:val="en-US" w:eastAsia="zh-CN"/>
        </w:rPr>
        <w:t>项目基本情况</w:t>
      </w:r>
    </w:p>
    <w:p w14:paraId="7003C00C">
      <w:pPr>
        <w:pageBreakBefore w:val="0"/>
        <w:numPr>
          <w:ilvl w:val="0"/>
          <w:numId w:val="0"/>
        </w:numPr>
        <w:tabs>
          <w:tab w:val="left" w:pos="420"/>
        </w:tabs>
        <w:kinsoku/>
        <w:wordWrap/>
        <w:overflowPunct/>
        <w:topLinePunct w:val="0"/>
        <w:bidi w:val="0"/>
        <w:snapToGrid/>
        <w:spacing w:line="360" w:lineRule="auto"/>
        <w:ind w:left="420" w:left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000000" w:themeColor="text1"/>
          <w:kern w:val="0"/>
          <w:sz w:val="24"/>
          <w:szCs w:val="24"/>
          <w:lang w:val="en-US" w:eastAsia="zh-CN"/>
          <w14:textFill>
            <w14:solidFill>
              <w14:schemeClr w14:val="tx1"/>
            </w14:solidFill>
          </w14:textFill>
        </w:rPr>
        <w:t>项目</w:t>
      </w:r>
      <w:r>
        <w:rPr>
          <w:rFonts w:hint="eastAsia" w:ascii="宋体" w:hAnsi="宋体" w:eastAsia="宋体" w:cs="宋体"/>
          <w:color w:val="000000" w:themeColor="text1"/>
          <w:kern w:val="0"/>
          <w:sz w:val="24"/>
          <w:szCs w:val="24"/>
          <w14:textFill>
            <w14:solidFill>
              <w14:schemeClr w14:val="tx1"/>
            </w14:solidFill>
          </w14:textFill>
        </w:rPr>
        <w:t>编号：</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SZMY20250</w:t>
      </w:r>
      <w:r>
        <w:rPr>
          <w:rFonts w:hint="eastAsia" w:ascii="宋体" w:hAnsi="宋体" w:cs="宋体"/>
          <w:color w:val="000000" w:themeColor="text1"/>
          <w:kern w:val="0"/>
          <w:sz w:val="24"/>
          <w:szCs w:val="24"/>
          <w:u w:val="single"/>
          <w:lang w:val="en-US" w:eastAsia="zh-CN"/>
          <w14:textFill>
            <w14:solidFill>
              <w14:schemeClr w14:val="tx1"/>
            </w14:solidFill>
          </w14:textFill>
        </w:rPr>
        <w:t>604</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-1</w:t>
      </w:r>
      <w:r>
        <w:rPr>
          <w:rFonts w:hint="eastAsia" w:ascii="宋体" w:hAnsi="宋体" w:eastAsia="宋体" w:cs="宋体"/>
          <w:color w:val="000000" w:themeColor="text1"/>
          <w:kern w:val="0"/>
          <w:sz w:val="24"/>
          <w:szCs w:val="24"/>
          <w:u w:val="none"/>
          <w:lang w:val="en-US" w:eastAsia="zh-CN"/>
          <w14:textFill>
            <w14:solidFill>
              <w14:schemeClr w14:val="tx1"/>
            </w14:solidFill>
          </w14:textFill>
        </w:rPr>
        <w:t>。</w:t>
      </w:r>
    </w:p>
    <w:p w14:paraId="65E80868">
      <w:pPr>
        <w:pageBreakBefore w:val="0"/>
        <w:numPr>
          <w:ilvl w:val="0"/>
          <w:numId w:val="0"/>
        </w:numPr>
        <w:tabs>
          <w:tab w:val="left" w:pos="420"/>
        </w:tabs>
        <w:kinsoku/>
        <w:wordWrap/>
        <w:overflowPunct/>
        <w:topLinePunct w:val="0"/>
        <w:bidi w:val="0"/>
        <w:snapToGrid/>
        <w:spacing w:line="360" w:lineRule="auto"/>
        <w:ind w:left="420" w:left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项目名称：</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2025年</w:t>
      </w:r>
      <w:r>
        <w:rPr>
          <w:rFonts w:hint="eastAsia" w:ascii="宋体" w:hAnsi="宋体" w:eastAsia="宋体" w:cs="宋体"/>
          <w:color w:val="000000" w:themeColor="text1"/>
          <w:sz w:val="24"/>
          <w:szCs w:val="24"/>
          <w:u w:val="single"/>
          <w:lang w:val="en-US" w:eastAsia="zh-CN"/>
          <w14:textFill>
            <w14:solidFill>
              <w14:schemeClr w14:val="tx1"/>
            </w14:solidFill>
          </w14:textFill>
        </w:rPr>
        <w:t>饮水机设备采购</w:t>
      </w:r>
      <w:r>
        <w:rPr>
          <w:rFonts w:hint="eastAsia" w:ascii="宋体" w:hAnsi="宋体" w:eastAsia="宋体" w:cs="宋体"/>
          <w:color w:val="000000" w:themeColor="text1"/>
          <w:sz w:val="24"/>
          <w:szCs w:val="24"/>
          <w:u w:val="none"/>
          <w:lang w:val="en-US" w:eastAsia="zh-CN"/>
          <w14:textFill>
            <w14:solidFill>
              <w14:schemeClr w14:val="tx1"/>
            </w14:solidFill>
          </w14:textFill>
        </w:rPr>
        <w:t>。</w:t>
      </w:r>
    </w:p>
    <w:p w14:paraId="79184FB3">
      <w:pPr>
        <w:pageBreakBefore w:val="0"/>
        <w:numPr>
          <w:ilvl w:val="0"/>
          <w:numId w:val="0"/>
        </w:numPr>
        <w:tabs>
          <w:tab w:val="left" w:pos="420"/>
        </w:tabs>
        <w:kinsoku/>
        <w:wordWrap/>
        <w:overflowPunct/>
        <w:topLinePunct w:val="0"/>
        <w:bidi w:val="0"/>
        <w:snapToGrid/>
        <w:spacing w:line="360" w:lineRule="auto"/>
        <w:ind w:left="420" w:left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预算金额：</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人民币壹拾叁万伍仟元整(</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135000</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w:t>
      </w:r>
      <w:r>
        <w:rPr>
          <w:rFonts w:hint="eastAsia" w:ascii="宋体" w:hAnsi="宋体" w:eastAsia="宋体" w:cs="宋体"/>
          <w:color w:val="000000" w:themeColor="text1"/>
          <w:kern w:val="0"/>
          <w:sz w:val="24"/>
          <w:szCs w:val="24"/>
          <w:u w:val="none"/>
          <w:lang w:eastAsia="zh-CN"/>
          <w14:textFill>
            <w14:solidFill>
              <w14:schemeClr w14:val="tx1"/>
            </w14:solidFill>
          </w14:textFill>
        </w:rPr>
        <w:t>。</w:t>
      </w:r>
    </w:p>
    <w:p w14:paraId="21B463A6">
      <w:pPr>
        <w:pageBreakBefore w:val="0"/>
        <w:numPr>
          <w:ilvl w:val="0"/>
          <w:numId w:val="0"/>
        </w:numPr>
        <w:tabs>
          <w:tab w:val="left" w:pos="420"/>
        </w:tabs>
        <w:kinsoku/>
        <w:wordWrap/>
        <w:overflowPunct/>
        <w:topLinePunct w:val="0"/>
        <w:bidi w:val="0"/>
        <w:snapToGrid/>
        <w:spacing w:line="360" w:lineRule="auto"/>
        <w:ind w:left="420" w:left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4、最高限价</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人民币壹拾叁万伍仟元整(</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135000</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w:t>
      </w:r>
      <w:r>
        <w:rPr>
          <w:rFonts w:hint="eastAsia" w:ascii="宋体" w:hAnsi="宋体" w:eastAsia="宋体" w:cs="宋体"/>
          <w:color w:val="000000" w:themeColor="text1"/>
          <w:kern w:val="0"/>
          <w:sz w:val="24"/>
          <w:szCs w:val="24"/>
          <w:u w:val="none"/>
          <w:lang w:eastAsia="zh-CN"/>
          <w14:textFill>
            <w14:solidFill>
              <w14:schemeClr w14:val="tx1"/>
            </w14:solidFill>
          </w14:textFill>
        </w:rPr>
        <w:t>。</w:t>
      </w:r>
    </w:p>
    <w:p w14:paraId="342CBC7D">
      <w:pPr>
        <w:pageBreakBefore w:val="0"/>
        <w:numPr>
          <w:ilvl w:val="0"/>
          <w:numId w:val="0"/>
        </w:numPr>
        <w:tabs>
          <w:tab w:val="left" w:pos="420"/>
        </w:tabs>
        <w:kinsoku/>
        <w:wordWrap/>
        <w:overflowPunct/>
        <w:topLinePunct w:val="0"/>
        <w:bidi w:val="0"/>
        <w:snapToGrid/>
        <w:spacing w:line="360" w:lineRule="auto"/>
        <w:ind w:left="420" w:left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项目实施地址：</w:t>
      </w:r>
      <w:r>
        <w:rPr>
          <w:rFonts w:hint="eastAsia" w:ascii="宋体" w:hAnsi="宋体" w:eastAsia="宋体" w:cs="宋体"/>
          <w:color w:val="000000" w:themeColor="text1"/>
          <w:kern w:val="0"/>
          <w:sz w:val="24"/>
          <w:szCs w:val="24"/>
          <w:lang w:val="en-US" w:eastAsia="zh-CN"/>
          <w14:textFill>
            <w14:solidFill>
              <w14:schemeClr w14:val="tx1"/>
            </w14:solidFill>
          </w14:textFill>
        </w:rPr>
        <w:t>深圳市第二实验学校明远高中</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0FD841FE">
      <w:pPr>
        <w:pageBreakBefore w:val="0"/>
        <w:numPr>
          <w:ilvl w:val="0"/>
          <w:numId w:val="0"/>
        </w:numPr>
        <w:tabs>
          <w:tab w:val="left" w:pos="420"/>
        </w:tabs>
        <w:kinsoku/>
        <w:wordWrap/>
        <w:overflowPunct/>
        <w:topLinePunct w:val="0"/>
        <w:bidi w:val="0"/>
        <w:snapToGrid/>
        <w:spacing w:line="360" w:lineRule="auto"/>
        <w:ind w:left="420" w:leftChars="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6、交货期：签订合同后</w:t>
      </w:r>
      <w:r>
        <w:rPr>
          <w:rFonts w:hint="eastAsia" w:ascii="宋体" w:hAnsi="宋体" w:cs="宋体"/>
          <w:color w:val="000000" w:themeColor="text1"/>
          <w:kern w:val="0"/>
          <w:sz w:val="24"/>
          <w:szCs w:val="24"/>
          <w:lang w:val="en-US" w:eastAsia="zh-CN"/>
          <w14:textFill>
            <w14:solidFill>
              <w14:schemeClr w14:val="tx1"/>
            </w14:solidFill>
          </w14:textFill>
        </w:rPr>
        <w:t>45</w:t>
      </w:r>
      <w:r>
        <w:rPr>
          <w:rFonts w:hint="eastAsia" w:ascii="宋体" w:hAnsi="宋体" w:eastAsia="宋体" w:cs="宋体"/>
          <w:color w:val="000000" w:themeColor="text1"/>
          <w:kern w:val="0"/>
          <w:sz w:val="24"/>
          <w:szCs w:val="24"/>
          <w:lang w:val="en-US" w:eastAsia="zh-CN"/>
          <w14:textFill>
            <w14:solidFill>
              <w14:schemeClr w14:val="tx1"/>
            </w14:solidFill>
          </w14:textFill>
        </w:rPr>
        <w:t>天(日历日)内交货。</w:t>
      </w:r>
    </w:p>
    <w:p w14:paraId="557C2A7D">
      <w:pPr>
        <w:pageBreakBefore w:val="0"/>
        <w:numPr>
          <w:ilvl w:val="0"/>
          <w:numId w:val="0"/>
        </w:numPr>
        <w:tabs>
          <w:tab w:val="left" w:pos="420"/>
        </w:tabs>
        <w:kinsoku/>
        <w:wordWrap/>
        <w:overflowPunct/>
        <w:topLinePunct w:val="0"/>
        <w:bidi w:val="0"/>
        <w:snapToGrid/>
        <w:spacing w:line="360" w:lineRule="auto"/>
        <w:ind w:left="420" w:leftChars="0"/>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7、评标定标方法：综合评分法。</w:t>
      </w:r>
    </w:p>
    <w:p w14:paraId="3BDBBFD8">
      <w:pPr>
        <w:pageBreakBefore w:val="0"/>
        <w:numPr>
          <w:ilvl w:val="0"/>
          <w:numId w:val="1"/>
        </w:numPr>
        <w:tabs>
          <w:tab w:val="left" w:pos="420"/>
        </w:tabs>
        <w:kinsoku/>
        <w:wordWrap/>
        <w:overflowPunct/>
        <w:topLinePunct w:val="0"/>
        <w:bidi w:val="0"/>
        <w:snapToGrid/>
        <w:spacing w:line="360" w:lineRule="auto"/>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申请人的资格要求</w:t>
      </w:r>
    </w:p>
    <w:p w14:paraId="2AA07DDD">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1、满足《中华人民共和国政府采购法》第二十二条规定，包括但不限于：</w:t>
      </w:r>
    </w:p>
    <w:p w14:paraId="4FD31D72">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中华人民共和国内注册登记的机构，具有独立承担民事责任的能力（提供《营业执照》或《事业单位法人证书》等独立承担民事责任能力的登记证明文件复印件；分支机构投标须提供总公司(总所)出具的愿为其参与本项目投标的行为以及履约等行为承担民事责任的承诺函，且同一家总公司(总所)若有两家或两家以上的分支机构，总公司(总所)只能授权一家参与投标）；</w:t>
      </w:r>
    </w:p>
    <w:p w14:paraId="5AAA7C26">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（2）具有良好的商业信誉和健全的财务会计制度，具有履行合同所必需的设备和专业技术能力，有依法缴纳税收和社会保障资金的良好记录；</w:t>
      </w:r>
    </w:p>
    <w:p w14:paraId="0CECE53B">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及其法定代表人参与政府采购活动前三年内（投标人成立不足三年的可从成立之日起算），在经营活动中无重大违法记录、无行贿犯罪记录、无串通投标、弄虚作假不良行为记录被暂停投标资格期间的情况（由投标人在《政府采购投标及履约承诺函》中作出声明）；</w:t>
      </w:r>
    </w:p>
    <w:p w14:paraId="3D19D86C">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及其法定代表人于前三年内（投标人成立不足三年的可从成立之日起算）无因违反建设工程法律、法规规定而受到建设行政主管部门红色警示并正在红色警示期间的情况（由投标人在《政府采购投标及履约承诺函》中作出声明）；</w:t>
      </w:r>
    </w:p>
    <w:p w14:paraId="33ED2321">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符合国家法规政策关于诚信管理的要求，至投标截止时间，未有在“信用中国”网（www.creditchina.gov.cn）、中国政府采购网（www.ccgp.gov.cn）、深圳市政府采购监督管理网（zfcg.sz.gov.cn）、深圳公共资源交易中心市区政府采购统一平台（</w:t>
      </w:r>
      <w:r>
        <w:rPr>
          <w:rFonts w:hint="eastAsia" w:ascii="宋体" w:hAnsi="宋体" w:eastAsia="宋体" w:cs="宋体"/>
          <w:color w:val="auto"/>
          <w:sz w:val="24"/>
          <w:szCs w:val="24"/>
          <w:highlight w:val="none"/>
        </w:rPr>
        <w:fldChar w:fldCharType="begin" w:fldLock="1"/>
      </w:r>
      <w:r>
        <w:rPr>
          <w:rFonts w:hint="eastAsia" w:ascii="宋体" w:hAnsi="宋体" w:eastAsia="宋体" w:cs="宋体"/>
          <w:color w:val="auto"/>
          <w:sz w:val="24"/>
          <w:szCs w:val="24"/>
          <w:highlight w:val="none"/>
        </w:rPr>
        <w:instrText xml:space="preserve"> HYPERLINK "http://www.szzfcg.cn"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www.szzfcg.cn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）和“国家企业信用信息公示系统（www.gsxt.gov.cn）等5个官网中列入“失信被执行人、重大税收违法失信主体、政府采购严重违法失信行为记录名单”（由投标人在《政府采购投标及履约承诺函》中作出声明）；</w:t>
      </w:r>
    </w:p>
    <w:p w14:paraId="6753E7BF">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（6）单位负责人为同一人或存在直接控股、管理关系的供应商不得参与同一合同项下的政府采购（由投标人在《政府采购投标及履约承诺函》中作出声明）；</w:t>
      </w:r>
    </w:p>
    <w:p w14:paraId="0DD91970">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（7）为此项目提供整体设计、规范编制或者项目管理、监理、检测等服务的供应商，不得再参加此项目的其他招标采购活动（由投标人在《政府采购投标及履约承诺函》中作出声明）；</w:t>
      </w:r>
    </w:p>
    <w:p w14:paraId="13C35615">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（8）投标人承诺“本单位（公司）不存在《深圳市财政局政府采购供应商信用信息管理办法》（深财规〔2023〕3号）列明的严重违法失信行为（由投标人在《政府采购投标及履约承诺函》中作出声明）；</w:t>
      </w:r>
    </w:p>
    <w:p w14:paraId="3AE58D0C">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（9）法律、行政法规规定的其他条件。</w:t>
      </w:r>
    </w:p>
    <w:p w14:paraId="3C0D1717">
      <w:pPr>
        <w:pStyle w:val="8"/>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、本项目的特定资格要求：无</w:t>
      </w:r>
    </w:p>
    <w:p w14:paraId="3BD95D03">
      <w:pPr>
        <w:pStyle w:val="8"/>
        <w:rPr>
          <w:rFonts w:hint="eastAsia" w:ascii="宋体" w:hAnsi="宋体" w:eastAsia="宋体" w:cs="宋体"/>
          <w:color w:val="auto"/>
          <w:kern w:val="0"/>
          <w:sz w:val="24"/>
          <w:szCs w:val="24"/>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、本项目不接受联合体投标，不允许分包、转包。</w:t>
      </w:r>
    </w:p>
    <w:p w14:paraId="2AEC7E19">
      <w:pPr>
        <w:pageBreakBefore w:val="0"/>
        <w:numPr>
          <w:ilvl w:val="0"/>
          <w:numId w:val="1"/>
        </w:numPr>
        <w:tabs>
          <w:tab w:val="left" w:pos="420"/>
        </w:tabs>
        <w:kinsoku/>
        <w:wordWrap/>
        <w:overflowPunct/>
        <w:topLinePunct w:val="0"/>
        <w:bidi w:val="0"/>
        <w:snapToGrid/>
        <w:spacing w:line="360" w:lineRule="auto"/>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获取招标文件</w:t>
      </w:r>
    </w:p>
    <w:p w14:paraId="42000359">
      <w:pPr>
        <w:pageBreakBefore w:val="0"/>
        <w:numPr>
          <w:ilvl w:val="0"/>
          <w:numId w:val="2"/>
        </w:numPr>
        <w:tabs>
          <w:tab w:val="left" w:pos="420"/>
        </w:tabs>
        <w:kinsoku/>
        <w:wordWrap/>
        <w:overflowPunct/>
        <w:topLinePunct w:val="0"/>
        <w:bidi w:val="0"/>
        <w:snapToGrid/>
        <w:spacing w:line="360" w:lineRule="auto"/>
        <w:ind w:left="420" w:leftChars="0"/>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时间：2025年</w:t>
      </w:r>
      <w:r>
        <w:rPr>
          <w:rFonts w:hint="eastAsia" w:ascii="宋体" w:hAnsi="宋体" w:cs="宋体"/>
          <w:b w:val="0"/>
          <w:bCs w:val="0"/>
          <w:color w:val="auto"/>
          <w:kern w:val="0"/>
          <w:sz w:val="24"/>
          <w:szCs w:val="24"/>
          <w:lang w:val="en-US" w:eastAsia="zh-CN"/>
        </w:rPr>
        <w:t>06</w:t>
      </w:r>
      <w:r>
        <w:rPr>
          <w:rFonts w:hint="eastAsia" w:ascii="宋体" w:hAnsi="宋体" w:eastAsia="宋体" w:cs="宋体"/>
          <w:b w:val="0"/>
          <w:bCs w:val="0"/>
          <w:color w:val="auto"/>
          <w:kern w:val="0"/>
          <w:sz w:val="24"/>
          <w:szCs w:val="24"/>
          <w:lang w:val="en-US" w:eastAsia="zh-CN"/>
        </w:rPr>
        <w:t>月</w:t>
      </w:r>
      <w:r>
        <w:rPr>
          <w:rFonts w:hint="eastAsia" w:ascii="宋体" w:hAnsi="宋体" w:cs="宋体"/>
          <w:b w:val="0"/>
          <w:bCs w:val="0"/>
          <w:color w:val="auto"/>
          <w:kern w:val="0"/>
          <w:sz w:val="24"/>
          <w:szCs w:val="24"/>
          <w:lang w:val="en-US" w:eastAsia="zh-CN"/>
        </w:rPr>
        <w:t>04</w:t>
      </w:r>
      <w:r>
        <w:rPr>
          <w:rFonts w:hint="eastAsia" w:ascii="宋体" w:hAnsi="宋体" w:eastAsia="宋体" w:cs="宋体"/>
          <w:b w:val="0"/>
          <w:bCs w:val="0"/>
          <w:color w:val="auto"/>
          <w:kern w:val="0"/>
          <w:sz w:val="24"/>
          <w:szCs w:val="24"/>
          <w:lang w:val="en-US" w:eastAsia="zh-CN"/>
        </w:rPr>
        <w:t>日至2025年</w:t>
      </w:r>
      <w:r>
        <w:rPr>
          <w:rFonts w:hint="eastAsia" w:ascii="宋体" w:hAnsi="宋体" w:cs="宋体"/>
          <w:b w:val="0"/>
          <w:bCs w:val="0"/>
          <w:color w:val="auto"/>
          <w:kern w:val="0"/>
          <w:sz w:val="24"/>
          <w:szCs w:val="24"/>
          <w:lang w:val="en-US" w:eastAsia="zh-CN"/>
        </w:rPr>
        <w:t>06</w:t>
      </w:r>
      <w:r>
        <w:rPr>
          <w:rFonts w:hint="eastAsia" w:ascii="宋体" w:hAnsi="宋体" w:eastAsia="宋体" w:cs="宋体"/>
          <w:b w:val="0"/>
          <w:bCs w:val="0"/>
          <w:color w:val="auto"/>
          <w:kern w:val="0"/>
          <w:sz w:val="24"/>
          <w:szCs w:val="24"/>
          <w:lang w:val="en-US" w:eastAsia="zh-CN"/>
        </w:rPr>
        <w:t>月</w:t>
      </w:r>
      <w:r>
        <w:rPr>
          <w:rFonts w:hint="eastAsia" w:ascii="宋体" w:hAnsi="宋体" w:cs="宋体"/>
          <w:b w:val="0"/>
          <w:bCs w:val="0"/>
          <w:color w:val="auto"/>
          <w:kern w:val="0"/>
          <w:sz w:val="24"/>
          <w:szCs w:val="24"/>
          <w:lang w:val="en-US" w:eastAsia="zh-CN"/>
        </w:rPr>
        <w:t>10</w:t>
      </w:r>
      <w:r>
        <w:rPr>
          <w:rFonts w:hint="eastAsia" w:ascii="宋体" w:hAnsi="宋体" w:eastAsia="宋体" w:cs="宋体"/>
          <w:b w:val="0"/>
          <w:bCs w:val="0"/>
          <w:color w:val="auto"/>
          <w:kern w:val="0"/>
          <w:sz w:val="24"/>
          <w:szCs w:val="24"/>
          <w:lang w:val="en-US" w:eastAsia="zh-CN"/>
        </w:rPr>
        <w:t>日</w:t>
      </w:r>
      <w:r>
        <w:rPr>
          <w:rFonts w:hint="eastAsia" w:ascii="宋体" w:hAnsi="宋体" w:cs="宋体"/>
          <w:b w:val="0"/>
          <w:bCs w:val="0"/>
          <w:color w:val="auto"/>
          <w:kern w:val="0"/>
          <w:sz w:val="24"/>
          <w:szCs w:val="24"/>
          <w:lang w:val="en-US" w:eastAsia="zh-CN"/>
        </w:rPr>
        <w:t>17</w:t>
      </w:r>
      <w:bookmarkStart w:id="37" w:name="_GoBack"/>
      <w:bookmarkEnd w:id="37"/>
      <w:r>
        <w:rPr>
          <w:rFonts w:hint="eastAsia" w:ascii="宋体" w:hAnsi="宋体" w:eastAsia="宋体" w:cs="宋体"/>
          <w:b w:val="0"/>
          <w:bCs w:val="0"/>
          <w:color w:val="auto"/>
          <w:kern w:val="0"/>
          <w:sz w:val="24"/>
          <w:szCs w:val="24"/>
          <w:lang w:val="en-US" w:eastAsia="zh-CN"/>
        </w:rPr>
        <w:t>时（北京时间）。</w:t>
      </w:r>
    </w:p>
    <w:p w14:paraId="2E47D150">
      <w:pPr>
        <w:pageBreakBefore w:val="0"/>
        <w:numPr>
          <w:ilvl w:val="0"/>
          <w:numId w:val="2"/>
        </w:numPr>
        <w:tabs>
          <w:tab w:val="left" w:pos="420"/>
        </w:tabs>
        <w:kinsoku/>
        <w:wordWrap/>
        <w:overflowPunct/>
        <w:topLinePunct w:val="0"/>
        <w:bidi w:val="0"/>
        <w:snapToGrid/>
        <w:spacing w:line="360" w:lineRule="auto"/>
        <w:ind w:left="420" w:leftChars="0"/>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color w:val="auto"/>
          <w:kern w:val="0"/>
          <w:sz w:val="24"/>
          <w:szCs w:val="24"/>
          <w:lang w:val="en-US" w:eastAsia="zh-CN"/>
        </w:rPr>
        <w:t>获取方式为线上。获取方式指引</w:t>
      </w:r>
      <w:r>
        <w:rPr>
          <w:rFonts w:hint="eastAsia" w:ascii="宋体" w:hAnsi="宋体" w:cs="宋体"/>
          <w:b w:val="0"/>
          <w:bCs w:val="0"/>
          <w:color w:val="auto"/>
          <w:kern w:val="0"/>
          <w:sz w:val="24"/>
          <w:szCs w:val="24"/>
          <w:lang w:val="en-US" w:eastAsia="zh-CN"/>
        </w:rPr>
        <w:t>：有意向的合格投标人可在深圳市第二实验学校明远高中官方网站（https://www.szmygz.cn/main/index.html之“校务公开”）获取、查阅招标文件。</w:t>
      </w:r>
    </w:p>
    <w:p w14:paraId="653613AC">
      <w:pPr>
        <w:pageBreakBefore w:val="0"/>
        <w:numPr>
          <w:ilvl w:val="0"/>
          <w:numId w:val="1"/>
        </w:numPr>
        <w:tabs>
          <w:tab w:val="left" w:pos="420"/>
        </w:tabs>
        <w:kinsoku/>
        <w:wordWrap/>
        <w:overflowPunct/>
        <w:topLinePunct w:val="0"/>
        <w:bidi w:val="0"/>
        <w:snapToGrid/>
        <w:spacing w:line="360" w:lineRule="auto"/>
        <w:ind w:left="0" w:leftChars="0" w:firstLine="0" w:firstLineChars="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提交投标（响应）文件截止时间、开标时间和地点</w:t>
      </w:r>
    </w:p>
    <w:p w14:paraId="4062B6C7">
      <w:pPr>
        <w:pageBreakBefore w:val="0"/>
        <w:numPr>
          <w:ilvl w:val="0"/>
          <w:numId w:val="3"/>
        </w:numPr>
        <w:tabs>
          <w:tab w:val="left" w:pos="420"/>
        </w:tabs>
        <w:kinsoku/>
        <w:wordWrap/>
        <w:overflowPunct/>
        <w:topLinePunct w:val="0"/>
        <w:bidi w:val="0"/>
        <w:snapToGrid/>
        <w:spacing w:line="360" w:lineRule="auto"/>
        <w:ind w:left="420" w:leftChars="0" w:firstLine="0" w:firstLineChars="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投标截止</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2025年</w:t>
      </w:r>
      <w:r>
        <w:rPr>
          <w:rFonts w:hint="eastAsia" w:ascii="宋体" w:hAnsi="宋体" w:cs="宋体"/>
          <w:b w:val="0"/>
          <w:bCs w:val="0"/>
          <w:color w:val="auto"/>
          <w:sz w:val="24"/>
          <w:szCs w:val="24"/>
          <w:lang w:val="en-US" w:eastAsia="zh-CN"/>
        </w:rPr>
        <w:t>06</w:t>
      </w:r>
      <w:r>
        <w:rPr>
          <w:rFonts w:hint="eastAsia" w:ascii="宋体" w:hAnsi="宋体" w:eastAsia="宋体" w:cs="宋体"/>
          <w:b w:val="0"/>
          <w:bCs w:val="0"/>
          <w:color w:val="auto"/>
          <w:sz w:val="24"/>
          <w:szCs w:val="24"/>
          <w:lang w:val="en-US" w:eastAsia="zh-CN"/>
        </w:rPr>
        <w:t>月</w:t>
      </w:r>
      <w:r>
        <w:rPr>
          <w:rFonts w:hint="eastAsia" w:ascii="宋体" w:hAnsi="宋体" w:cs="宋体"/>
          <w:b w:val="0"/>
          <w:bCs w:val="0"/>
          <w:color w:val="auto"/>
          <w:sz w:val="24"/>
          <w:szCs w:val="24"/>
          <w:lang w:val="en-US" w:eastAsia="zh-CN"/>
        </w:rPr>
        <w:t>10</w:t>
      </w:r>
      <w:r>
        <w:rPr>
          <w:rFonts w:hint="eastAsia" w:ascii="宋体" w:hAnsi="宋体" w:eastAsia="宋体" w:cs="宋体"/>
          <w:b w:val="0"/>
          <w:bCs w:val="0"/>
          <w:color w:val="auto"/>
          <w:sz w:val="24"/>
          <w:szCs w:val="24"/>
          <w:lang w:val="en-US" w:eastAsia="zh-CN"/>
        </w:rPr>
        <w:t>日</w:t>
      </w:r>
      <w:r>
        <w:rPr>
          <w:rFonts w:hint="eastAsia" w:ascii="宋体" w:hAnsi="宋体" w:cs="宋体"/>
          <w:b w:val="0"/>
          <w:bCs w:val="0"/>
          <w:color w:val="auto"/>
          <w:sz w:val="24"/>
          <w:szCs w:val="24"/>
          <w:lang w:val="en-US" w:eastAsia="zh-CN"/>
        </w:rPr>
        <w:t>下</w:t>
      </w:r>
      <w:r>
        <w:rPr>
          <w:rFonts w:hint="eastAsia" w:ascii="宋体" w:hAnsi="宋体" w:eastAsia="宋体" w:cs="宋体"/>
          <w:b w:val="0"/>
          <w:bCs w:val="0"/>
          <w:color w:val="auto"/>
          <w:sz w:val="24"/>
          <w:szCs w:val="24"/>
          <w:lang w:val="en-US" w:eastAsia="zh-CN"/>
        </w:rPr>
        <w:t>午</w:t>
      </w:r>
      <w:r>
        <w:rPr>
          <w:rFonts w:hint="eastAsia" w:ascii="宋体" w:hAnsi="宋体" w:cs="宋体"/>
          <w:b w:val="0"/>
          <w:bCs w:val="0"/>
          <w:color w:val="auto"/>
          <w:sz w:val="24"/>
          <w:szCs w:val="24"/>
          <w:lang w:val="en-US" w:eastAsia="zh-CN"/>
        </w:rPr>
        <w:t>17</w:t>
      </w:r>
      <w:r>
        <w:rPr>
          <w:rFonts w:hint="eastAsia" w:ascii="宋体" w:hAnsi="宋体" w:eastAsia="宋体" w:cs="宋体"/>
          <w:b w:val="0"/>
          <w:bCs w:val="0"/>
          <w:color w:val="auto"/>
          <w:sz w:val="24"/>
          <w:szCs w:val="24"/>
          <w:lang w:val="en-US" w:eastAsia="zh-CN"/>
        </w:rPr>
        <w:t>时</w:t>
      </w:r>
      <w:r>
        <w:rPr>
          <w:rFonts w:hint="eastAsia" w:ascii="宋体" w:hAnsi="宋体" w:cs="宋体"/>
          <w:b w:val="0"/>
          <w:bCs w:val="0"/>
          <w:color w:val="auto"/>
          <w:sz w:val="24"/>
          <w:szCs w:val="24"/>
          <w:lang w:val="en-US" w:eastAsia="zh-CN"/>
        </w:rPr>
        <w:t>00</w:t>
      </w:r>
      <w:r>
        <w:rPr>
          <w:rFonts w:hint="eastAsia" w:ascii="宋体" w:hAnsi="宋体" w:eastAsia="宋体" w:cs="宋体"/>
          <w:b w:val="0"/>
          <w:bCs w:val="0"/>
          <w:color w:val="auto"/>
          <w:sz w:val="24"/>
          <w:szCs w:val="24"/>
          <w:lang w:val="en-US" w:eastAsia="zh-CN"/>
        </w:rPr>
        <w:t>分（北京时间）</w:t>
      </w:r>
    </w:p>
    <w:p w14:paraId="3A0CCFB2">
      <w:pPr>
        <w:pageBreakBefore w:val="0"/>
        <w:numPr>
          <w:ilvl w:val="0"/>
          <w:numId w:val="3"/>
        </w:numPr>
        <w:tabs>
          <w:tab w:val="left" w:pos="420"/>
        </w:tabs>
        <w:kinsoku/>
        <w:wordWrap/>
        <w:overflowPunct/>
        <w:topLinePunct w:val="0"/>
        <w:bidi w:val="0"/>
        <w:snapToGrid/>
        <w:spacing w:line="360" w:lineRule="auto"/>
        <w:ind w:left="420" w:leftChars="0" w:firstLine="0" w:firstLineChars="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开标时间：2025年</w:t>
      </w:r>
      <w:r>
        <w:rPr>
          <w:rFonts w:hint="eastAsia" w:ascii="宋体" w:hAnsi="宋体" w:cs="宋体"/>
          <w:b w:val="0"/>
          <w:bCs w:val="0"/>
          <w:color w:val="auto"/>
          <w:sz w:val="24"/>
          <w:szCs w:val="24"/>
          <w:lang w:val="en-US" w:eastAsia="zh-CN"/>
        </w:rPr>
        <w:t>06</w:t>
      </w:r>
      <w:r>
        <w:rPr>
          <w:rFonts w:hint="eastAsia" w:ascii="宋体" w:hAnsi="宋体" w:eastAsia="宋体" w:cs="宋体"/>
          <w:b w:val="0"/>
          <w:bCs w:val="0"/>
          <w:color w:val="auto"/>
          <w:sz w:val="24"/>
          <w:szCs w:val="24"/>
          <w:lang w:val="en-US" w:eastAsia="zh-CN"/>
        </w:rPr>
        <w:t>月</w:t>
      </w:r>
      <w:r>
        <w:rPr>
          <w:rFonts w:hint="eastAsia" w:ascii="宋体" w:hAnsi="宋体" w:cs="宋体"/>
          <w:b w:val="0"/>
          <w:bCs w:val="0"/>
          <w:color w:val="auto"/>
          <w:sz w:val="24"/>
          <w:szCs w:val="24"/>
          <w:lang w:val="en-US" w:eastAsia="zh-CN"/>
        </w:rPr>
        <w:t>11</w:t>
      </w:r>
      <w:r>
        <w:rPr>
          <w:rFonts w:hint="eastAsia" w:ascii="宋体" w:hAnsi="宋体" w:eastAsia="宋体" w:cs="宋体"/>
          <w:b w:val="0"/>
          <w:bCs w:val="0"/>
          <w:color w:val="auto"/>
          <w:sz w:val="24"/>
          <w:szCs w:val="24"/>
          <w:lang w:val="en-US" w:eastAsia="zh-CN"/>
        </w:rPr>
        <w:t>日上午</w:t>
      </w:r>
      <w:r>
        <w:rPr>
          <w:rFonts w:hint="eastAsia" w:ascii="宋体" w:hAnsi="宋体" w:cs="宋体"/>
          <w:b w:val="0"/>
          <w:bCs w:val="0"/>
          <w:color w:val="auto"/>
          <w:sz w:val="24"/>
          <w:szCs w:val="24"/>
          <w:lang w:val="en-US" w:eastAsia="zh-CN"/>
        </w:rPr>
        <w:t>16</w:t>
      </w:r>
      <w:r>
        <w:rPr>
          <w:rFonts w:hint="eastAsia" w:ascii="宋体" w:hAnsi="宋体" w:eastAsia="宋体" w:cs="宋体"/>
          <w:b w:val="0"/>
          <w:bCs w:val="0"/>
          <w:color w:val="auto"/>
          <w:sz w:val="24"/>
          <w:szCs w:val="24"/>
          <w:lang w:val="en-US" w:eastAsia="zh-CN"/>
        </w:rPr>
        <w:t>时</w:t>
      </w:r>
      <w:r>
        <w:rPr>
          <w:rFonts w:hint="eastAsia" w:ascii="宋体" w:hAnsi="宋体" w:cs="宋体"/>
          <w:b w:val="0"/>
          <w:bCs w:val="0"/>
          <w:color w:val="auto"/>
          <w:sz w:val="24"/>
          <w:szCs w:val="24"/>
          <w:lang w:val="en-US" w:eastAsia="zh-CN"/>
        </w:rPr>
        <w:t>0</w:t>
      </w:r>
      <w:r>
        <w:rPr>
          <w:rFonts w:hint="eastAsia" w:ascii="宋体" w:hAnsi="宋体" w:eastAsia="宋体" w:cs="宋体"/>
          <w:b w:val="0"/>
          <w:bCs w:val="0"/>
          <w:color w:val="auto"/>
          <w:sz w:val="24"/>
          <w:szCs w:val="24"/>
          <w:lang w:val="en-US" w:eastAsia="zh-CN"/>
        </w:rPr>
        <w:t>0分（北京时间）</w:t>
      </w:r>
    </w:p>
    <w:p w14:paraId="660162D8">
      <w:pPr>
        <w:pageBreakBefore w:val="0"/>
        <w:numPr>
          <w:ilvl w:val="0"/>
          <w:numId w:val="3"/>
        </w:numPr>
        <w:tabs>
          <w:tab w:val="left" w:pos="420"/>
        </w:tabs>
        <w:kinsoku/>
        <w:wordWrap/>
        <w:overflowPunct/>
        <w:topLinePunct w:val="0"/>
        <w:bidi w:val="0"/>
        <w:snapToGrid/>
        <w:spacing w:line="360" w:lineRule="auto"/>
        <w:ind w:left="420" w:leftChars="0" w:firstLine="0" w:firstLineChars="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邮寄递交：邮寄地址：深圳市大鹏新区鹏飞路1-1号深圳市第二实验学校明远高中，收件人：韩老师，联系电话</w:t>
      </w:r>
      <w:r>
        <w:rPr>
          <w:rFonts w:hint="eastAsia" w:ascii="宋体" w:hAnsi="宋体" w:cs="宋体"/>
          <w:b w:val="0"/>
          <w:bCs w:val="0"/>
          <w:color w:val="auto"/>
          <w:sz w:val="24"/>
          <w:szCs w:val="24"/>
          <w:lang w:val="en-US" w:eastAsia="zh-CN"/>
        </w:rPr>
        <w:t>：</w:t>
      </w:r>
      <w:r>
        <w:rPr>
          <w:rFonts w:hint="eastAsia" w:asciiTheme="minorEastAsia" w:hAnsiTheme="minorEastAsia" w:eastAsiaTheme="minorEastAsia" w:cstheme="minorEastAsia"/>
          <w:color w:val="auto"/>
          <w:kern w:val="0"/>
          <w:sz w:val="24"/>
          <w:szCs w:val="24"/>
        </w:rPr>
        <w:t>13418829782</w:t>
      </w:r>
      <w:r>
        <w:rPr>
          <w:rFonts w:hint="eastAsia" w:ascii="宋体" w:hAnsi="宋体" w:eastAsia="宋体" w:cs="宋体"/>
          <w:b w:val="0"/>
          <w:bCs w:val="0"/>
          <w:color w:val="auto"/>
          <w:sz w:val="24"/>
          <w:szCs w:val="24"/>
          <w:lang w:val="en-US" w:eastAsia="zh-CN"/>
        </w:rPr>
        <w:t>。</w:t>
      </w:r>
    </w:p>
    <w:p w14:paraId="2CE3EA2A">
      <w:pPr>
        <w:pageBreakBefore w:val="0"/>
        <w:numPr>
          <w:ilvl w:val="0"/>
          <w:numId w:val="3"/>
        </w:numPr>
        <w:tabs>
          <w:tab w:val="left" w:pos="420"/>
        </w:tabs>
        <w:kinsoku/>
        <w:wordWrap/>
        <w:overflowPunct/>
        <w:topLinePunct w:val="0"/>
        <w:bidi w:val="0"/>
        <w:snapToGrid/>
        <w:spacing w:line="360" w:lineRule="auto"/>
        <w:ind w:left="42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b w:val="0"/>
          <w:bCs w:val="0"/>
          <w:color w:val="auto"/>
          <w:sz w:val="24"/>
          <w:szCs w:val="24"/>
          <w:lang w:val="en-US" w:eastAsia="zh-CN"/>
        </w:rPr>
        <w:t>开标地点：深圳市第二实验学校明远高中A0227-</w:t>
      </w: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lang w:val="en-US" w:eastAsia="zh-CN"/>
        </w:rPr>
        <w:t>会议室。</w:t>
      </w:r>
    </w:p>
    <w:p w14:paraId="39B61E8D">
      <w:pPr>
        <w:pageBreakBefore w:val="0"/>
        <w:numPr>
          <w:ilvl w:val="0"/>
          <w:numId w:val="1"/>
        </w:numPr>
        <w:tabs>
          <w:tab w:val="left" w:pos="420"/>
        </w:tabs>
        <w:kinsoku/>
        <w:wordWrap/>
        <w:overflowPunct/>
        <w:topLinePunct w:val="0"/>
        <w:bidi w:val="0"/>
        <w:snapToGrid/>
        <w:spacing w:line="360" w:lineRule="auto"/>
        <w:ind w:left="0" w:leftChars="0"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公告期限</w:t>
      </w:r>
    </w:p>
    <w:p w14:paraId="30AA0837">
      <w:pPr>
        <w:pageBreakBefore w:val="0"/>
        <w:numPr>
          <w:ilvl w:val="0"/>
          <w:numId w:val="0"/>
        </w:numPr>
        <w:tabs>
          <w:tab w:val="left" w:pos="420"/>
        </w:tabs>
        <w:kinsoku/>
        <w:wordWrap/>
        <w:overflowPunct/>
        <w:topLinePunct w:val="0"/>
        <w:bidi w:val="0"/>
        <w:snapToGrid/>
        <w:spacing w:line="36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ab/>
      </w:r>
      <w:r>
        <w:rPr>
          <w:rFonts w:hint="eastAsia" w:ascii="宋体" w:hAnsi="宋体" w:eastAsia="宋体" w:cs="宋体"/>
          <w:b w:val="0"/>
          <w:bCs w:val="0"/>
          <w:color w:val="auto"/>
          <w:sz w:val="24"/>
          <w:szCs w:val="24"/>
          <w:lang w:val="en-US" w:eastAsia="zh-CN"/>
        </w:rPr>
        <w:t>自本公告发布之日起7个日历日。</w:t>
      </w:r>
    </w:p>
    <w:p w14:paraId="021A2540">
      <w:pPr>
        <w:pageBreakBefore w:val="0"/>
        <w:numPr>
          <w:ilvl w:val="0"/>
          <w:numId w:val="1"/>
        </w:numPr>
        <w:tabs>
          <w:tab w:val="left" w:pos="420"/>
        </w:tabs>
        <w:kinsoku/>
        <w:wordWrap/>
        <w:overflowPunct/>
        <w:topLinePunct w:val="0"/>
        <w:bidi w:val="0"/>
        <w:snapToGrid/>
        <w:spacing w:line="360" w:lineRule="auto"/>
        <w:ind w:left="0" w:leftChars="0"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其他补充事宜</w:t>
      </w:r>
    </w:p>
    <w:p w14:paraId="73B9DB16">
      <w:pPr>
        <w:pageBreakBefore w:val="0"/>
        <w:numPr>
          <w:ilvl w:val="0"/>
          <w:numId w:val="4"/>
        </w:numPr>
        <w:tabs>
          <w:tab w:val="left" w:pos="420"/>
        </w:tabs>
        <w:kinsoku/>
        <w:wordWrap/>
        <w:overflowPunct/>
        <w:topLinePunct w:val="0"/>
        <w:bidi w:val="0"/>
        <w:snapToGrid/>
        <w:spacing w:line="360" w:lineRule="auto"/>
        <w:ind w:left="420" w:leftChars="0" w:firstLine="0" w:firstLineChars="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项目审批情况：本项目已获得主管部门审批，资金已落实。本项目不接受进口产品或服务参与投标。</w:t>
      </w:r>
    </w:p>
    <w:p w14:paraId="58E17902">
      <w:pPr>
        <w:pageBreakBefore w:val="0"/>
        <w:numPr>
          <w:ilvl w:val="0"/>
          <w:numId w:val="4"/>
        </w:numPr>
        <w:tabs>
          <w:tab w:val="left" w:pos="420"/>
        </w:tabs>
        <w:kinsoku/>
        <w:wordWrap/>
        <w:overflowPunct/>
        <w:topLinePunct w:val="0"/>
        <w:bidi w:val="0"/>
        <w:snapToGrid/>
        <w:spacing w:line="360" w:lineRule="auto"/>
        <w:ind w:left="420" w:leftChars="0" w:firstLine="0" w:firstLineChars="0"/>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评审办法和评审标准：本项目采用综合评分法，其中：价格部分</w:t>
      </w:r>
      <w:r>
        <w:rPr>
          <w:rFonts w:hint="eastAsia" w:ascii="宋体" w:hAnsi="宋体" w:cs="宋体"/>
          <w:b w:val="0"/>
          <w:bCs w:val="0"/>
          <w:color w:val="auto"/>
          <w:sz w:val="24"/>
          <w:szCs w:val="24"/>
          <w:lang w:val="en-US" w:eastAsia="zh-CN"/>
        </w:rPr>
        <w:t>30</w:t>
      </w:r>
      <w:r>
        <w:rPr>
          <w:rFonts w:hint="eastAsia" w:ascii="宋体" w:hAnsi="宋体" w:eastAsia="宋体" w:cs="宋体"/>
          <w:b w:val="0"/>
          <w:bCs w:val="0"/>
          <w:color w:val="auto"/>
          <w:sz w:val="24"/>
          <w:szCs w:val="24"/>
          <w:lang w:val="en-US" w:eastAsia="zh-CN"/>
        </w:rPr>
        <w:t>分；技术部分</w:t>
      </w:r>
      <w:r>
        <w:rPr>
          <w:rFonts w:hint="eastAsia" w:ascii="宋体" w:hAnsi="宋体" w:cs="宋体"/>
          <w:b w:val="0"/>
          <w:bCs w:val="0"/>
          <w:color w:val="auto"/>
          <w:sz w:val="24"/>
          <w:szCs w:val="24"/>
          <w:lang w:val="en-US" w:eastAsia="zh-CN"/>
        </w:rPr>
        <w:t>56</w:t>
      </w:r>
      <w:r>
        <w:rPr>
          <w:rFonts w:hint="eastAsia" w:ascii="宋体" w:hAnsi="宋体" w:eastAsia="宋体" w:cs="宋体"/>
          <w:b w:val="0"/>
          <w:bCs w:val="0"/>
          <w:color w:val="auto"/>
          <w:sz w:val="24"/>
          <w:szCs w:val="24"/>
          <w:lang w:val="en-US" w:eastAsia="zh-CN"/>
        </w:rPr>
        <w:t>分；商务部分</w:t>
      </w:r>
      <w:r>
        <w:rPr>
          <w:rFonts w:hint="eastAsia" w:ascii="宋体" w:hAnsi="宋体" w:cs="宋体"/>
          <w:b w:val="0"/>
          <w:bCs w:val="0"/>
          <w:color w:val="auto"/>
          <w:sz w:val="24"/>
          <w:szCs w:val="24"/>
          <w:lang w:val="en-US" w:eastAsia="zh-CN"/>
        </w:rPr>
        <w:t>14</w:t>
      </w:r>
      <w:r>
        <w:rPr>
          <w:rFonts w:hint="eastAsia" w:ascii="宋体" w:hAnsi="宋体" w:eastAsia="宋体" w:cs="宋体"/>
          <w:b w:val="0"/>
          <w:bCs w:val="0"/>
          <w:color w:val="auto"/>
          <w:sz w:val="24"/>
          <w:szCs w:val="24"/>
          <w:lang w:val="en-US" w:eastAsia="zh-CN"/>
        </w:rPr>
        <w:t>分。详细的评分因素和标准见招标文件。</w:t>
      </w:r>
    </w:p>
    <w:p w14:paraId="17D0CFF6">
      <w:pPr>
        <w:pageBreakBefore w:val="0"/>
        <w:numPr>
          <w:ilvl w:val="0"/>
          <w:numId w:val="0"/>
        </w:numPr>
        <w:tabs>
          <w:tab w:val="left" w:pos="420"/>
        </w:tabs>
        <w:kinsoku/>
        <w:wordWrap/>
        <w:overflowPunct/>
        <w:topLinePunct w:val="0"/>
        <w:bidi w:val="0"/>
        <w:snapToGrid/>
        <w:spacing w:line="360" w:lineRule="auto"/>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七、对本次招标提出询问，请按以下方式联系</w:t>
      </w:r>
    </w:p>
    <w:p w14:paraId="575F8487">
      <w:pPr>
        <w:pageBreakBefore w:val="0"/>
        <w:widowControl/>
        <w:kinsoku/>
        <w:wordWrap/>
        <w:overflowPunct/>
        <w:topLinePunct w:val="0"/>
        <w:bidi w:val="0"/>
        <w:snapToGrid/>
        <w:spacing w:line="360" w:lineRule="auto"/>
        <w:ind w:left="42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kern w:val="0"/>
          <w:sz w:val="24"/>
          <w:szCs w:val="24"/>
          <w:lang w:val="en-US" w:eastAsia="zh-CN"/>
        </w:rPr>
        <w:t>采购人：</w:t>
      </w:r>
      <w:r>
        <w:rPr>
          <w:rFonts w:hint="eastAsia" w:ascii="宋体" w:hAnsi="宋体" w:eastAsia="宋体" w:cs="宋体"/>
          <w:b w:val="0"/>
          <w:bCs w:val="0"/>
          <w:color w:val="auto"/>
          <w:sz w:val="24"/>
          <w:szCs w:val="24"/>
          <w:lang w:val="en-US" w:eastAsia="zh-CN"/>
        </w:rPr>
        <w:t>深圳市第二实验学校明远高中</w:t>
      </w:r>
    </w:p>
    <w:p w14:paraId="718EAADA">
      <w:pPr>
        <w:pageBreakBefore w:val="0"/>
        <w:widowControl/>
        <w:kinsoku/>
        <w:wordWrap/>
        <w:overflowPunct/>
        <w:topLinePunct w:val="0"/>
        <w:bidi w:val="0"/>
        <w:snapToGrid/>
        <w:spacing w:line="360" w:lineRule="auto"/>
        <w:ind w:left="42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联系人：</w:t>
      </w:r>
      <w:r>
        <w:rPr>
          <w:rFonts w:hint="eastAsia" w:ascii="宋体" w:hAnsi="宋体" w:eastAsia="宋体" w:cs="宋体"/>
          <w:color w:val="auto"/>
          <w:kern w:val="0"/>
          <w:sz w:val="24"/>
          <w:szCs w:val="24"/>
          <w:lang w:val="en-US" w:eastAsia="zh-CN"/>
        </w:rPr>
        <w:t>韩老师</w:t>
      </w:r>
    </w:p>
    <w:p w14:paraId="0A91276C">
      <w:pPr>
        <w:pageBreakBefore w:val="0"/>
        <w:widowControl/>
        <w:kinsoku/>
        <w:wordWrap/>
        <w:overflowPunct/>
        <w:topLinePunct w:val="0"/>
        <w:bidi w:val="0"/>
        <w:snapToGrid/>
        <w:spacing w:line="360" w:lineRule="auto"/>
        <w:ind w:left="42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kern w:val="0"/>
          <w:sz w:val="24"/>
          <w:szCs w:val="24"/>
        </w:rPr>
        <w:t>联系地址：</w:t>
      </w:r>
      <w:r>
        <w:rPr>
          <w:rFonts w:hint="eastAsia" w:ascii="宋体" w:hAnsi="宋体" w:eastAsia="宋体" w:cs="宋体"/>
          <w:b w:val="0"/>
          <w:bCs w:val="0"/>
          <w:color w:val="auto"/>
          <w:sz w:val="24"/>
          <w:szCs w:val="24"/>
          <w:lang w:val="en-US" w:eastAsia="zh-CN"/>
        </w:rPr>
        <w:t>深圳市大鹏新区鹏飞路1-1号</w:t>
      </w:r>
    </w:p>
    <w:p w14:paraId="63E63015">
      <w:pPr>
        <w:pageBreakBefore w:val="0"/>
        <w:widowControl/>
        <w:kinsoku/>
        <w:wordWrap/>
        <w:overflowPunct/>
        <w:topLinePunct w:val="0"/>
        <w:bidi w:val="0"/>
        <w:snapToGrid/>
        <w:spacing w:line="360" w:lineRule="auto"/>
        <w:ind w:left="42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电话：</w:t>
      </w:r>
      <w:r>
        <w:rPr>
          <w:rFonts w:hint="eastAsia" w:asciiTheme="minorEastAsia" w:hAnsiTheme="minorEastAsia" w:eastAsiaTheme="minorEastAsia" w:cstheme="minorEastAsia"/>
          <w:color w:val="auto"/>
          <w:kern w:val="0"/>
          <w:sz w:val="24"/>
          <w:szCs w:val="24"/>
        </w:rPr>
        <w:t>13418829782</w:t>
      </w:r>
    </w:p>
    <w:p w14:paraId="56F57C6C">
      <w:pPr>
        <w:pageBreakBefore w:val="0"/>
        <w:widowControl/>
        <w:kinsoku/>
        <w:wordWrap/>
        <w:overflowPunct/>
        <w:topLinePunct w:val="0"/>
        <w:bidi w:val="0"/>
        <w:snapToGrid/>
        <w:spacing w:line="360" w:lineRule="auto"/>
        <w:ind w:left="420"/>
        <w:jc w:val="left"/>
        <w:textAlignment w:val="auto"/>
        <w:rPr>
          <w:rFonts w:hint="eastAsia" w:ascii="宋体" w:hAnsi="宋体" w:eastAsia="宋体" w:cs="宋体"/>
          <w:color w:val="FF0000"/>
          <w:kern w:val="0"/>
          <w:sz w:val="24"/>
          <w:szCs w:val="24"/>
          <w:lang w:val="en-US" w:eastAsia="zh-CN"/>
        </w:rPr>
      </w:pPr>
      <w:r>
        <w:rPr>
          <w:rFonts w:hint="eastAsia" w:ascii="宋体" w:hAnsi="宋体" w:eastAsia="宋体" w:cs="宋体"/>
          <w:color w:val="auto"/>
          <w:kern w:val="0"/>
          <w:sz w:val="24"/>
          <w:szCs w:val="24"/>
        </w:rPr>
        <w:t>邮箱：</w:t>
      </w:r>
      <w:r>
        <w:rPr>
          <w:rFonts w:hint="eastAsia" w:ascii="宋体" w:hAnsi="宋体" w:eastAsia="宋体" w:cs="宋体"/>
          <w:color w:val="000000" w:themeColor="text1"/>
          <w:kern w:val="0"/>
          <w:sz w:val="24"/>
          <w:szCs w:val="24"/>
          <w:lang w:val="en-US" w:eastAsia="zh-CN"/>
          <w14:textFill>
            <w14:solidFill>
              <w14:schemeClr w14:val="tx1"/>
            </w14:solidFill>
          </w14:textFill>
        </w:rPr>
        <w:t>13418829782@126.com</w:t>
      </w:r>
    </w:p>
    <w:p w14:paraId="554CFD77">
      <w:pPr>
        <w:pStyle w:val="4"/>
        <w:numPr>
          <w:ilvl w:val="0"/>
          <w:numId w:val="5"/>
        </w:numPr>
        <w:spacing w:line="360" w:lineRule="auto"/>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投标人须知前附表</w:t>
      </w:r>
    </w:p>
    <w:p w14:paraId="42A85CA8">
      <w:pPr>
        <w:numPr>
          <w:ilvl w:val="0"/>
          <w:numId w:val="0"/>
        </w:numPr>
        <w:ind w:firstLine="420" w:firstLineChars="0"/>
        <w:rPr>
          <w:rFonts w:hint="eastAsia"/>
          <w:lang w:val="en-US" w:eastAsia="zh-CN"/>
        </w:rPr>
      </w:pPr>
      <w:r>
        <w:rPr>
          <w:rFonts w:hint="eastAsia"/>
          <w:lang w:val="en-US" w:eastAsia="zh-CN"/>
        </w:rPr>
        <w:t>本表关于采购项目的具体材料，是对投标人须知的具体补充和修改，如有矛盾，应以投标人须知前附表为准。投标人须知前附表的条款号与投标人须知相对应。</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499"/>
      </w:tblGrid>
      <w:tr w14:paraId="2BFE3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14:paraId="5E42D11E">
            <w:pPr>
              <w:numPr>
                <w:ilvl w:val="0"/>
                <w:numId w:val="0"/>
              </w:numPr>
              <w:rPr>
                <w:rFonts w:hint="default"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投标人须知对应条款号</w:t>
            </w:r>
          </w:p>
        </w:tc>
        <w:tc>
          <w:tcPr>
            <w:tcW w:w="7499" w:type="dxa"/>
          </w:tcPr>
          <w:p w14:paraId="093E520F">
            <w:pPr>
              <w:numPr>
                <w:ilvl w:val="0"/>
                <w:numId w:val="0"/>
              </w:numPr>
              <w:spacing w:line="480" w:lineRule="auto"/>
              <w:jc w:val="center"/>
              <w:rPr>
                <w:rFonts w:hint="default"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内容</w:t>
            </w:r>
          </w:p>
        </w:tc>
      </w:tr>
      <w:tr w14:paraId="61F4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1449" w:type="dxa"/>
            <w:vAlign w:val="top"/>
          </w:tcPr>
          <w:p w14:paraId="686C9FFC">
            <w:pPr>
              <w:keepNext w:val="0"/>
              <w:keepLines w:val="0"/>
              <w:pageBreakBefore w:val="0"/>
              <w:widowControl w:val="0"/>
              <w:numPr>
                <w:ilvl w:val="0"/>
                <w:numId w:val="0"/>
              </w:numPr>
              <w:kinsoku/>
              <w:wordWrap/>
              <w:overflowPunct/>
              <w:topLinePunct w:val="0"/>
              <w:autoSpaceDE/>
              <w:autoSpaceDN/>
              <w:bidi w:val="0"/>
              <w:adjustRightInd/>
              <w:snapToGrid/>
              <w:spacing w:line="14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7499" w:type="dxa"/>
          </w:tcPr>
          <w:p w14:paraId="3F533103">
            <w:pPr>
              <w:numPr>
                <w:ilvl w:val="0"/>
                <w:numId w:val="6"/>
              </w:numPr>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项目资金来源</w:t>
            </w:r>
            <w:r>
              <w:rPr>
                <w:rFonts w:hint="eastAsia" w:ascii="宋体" w:hAnsi="宋体" w:eastAsia="宋体" w:cs="宋体"/>
                <w:sz w:val="24"/>
                <w:szCs w:val="24"/>
                <w:vertAlign w:val="baseline"/>
                <w:lang w:val="en-US" w:eastAsia="zh-CN"/>
              </w:rPr>
              <w:t>：财政资金</w:t>
            </w:r>
          </w:p>
          <w:p w14:paraId="23EA4900">
            <w:pPr>
              <w:numPr>
                <w:ilvl w:val="0"/>
                <w:numId w:val="6"/>
              </w:numPr>
              <w:rPr>
                <w:rFonts w:hint="default"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项目概况</w:t>
            </w:r>
            <w:r>
              <w:rPr>
                <w:rFonts w:hint="eastAsia" w:ascii="宋体" w:hAnsi="宋体" w:eastAsia="宋体" w:cs="宋体"/>
                <w:sz w:val="24"/>
                <w:szCs w:val="24"/>
                <w:vertAlign w:val="baseline"/>
                <w:lang w:val="en-US" w:eastAsia="zh-CN"/>
              </w:rPr>
              <w:t>：</w:t>
            </w:r>
          </w:p>
          <w:p w14:paraId="760A6227">
            <w:pPr>
              <w:numPr>
                <w:ilvl w:val="0"/>
                <w:numId w:val="0"/>
              </w:numPr>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项目名称</w:t>
            </w:r>
            <w:r>
              <w:rPr>
                <w:rFonts w:hint="eastAsia" w:ascii="宋体" w:hAnsi="宋体" w:eastAsia="宋体" w:cs="宋体"/>
                <w:sz w:val="24"/>
                <w:szCs w:val="24"/>
                <w:vertAlign w:val="baseline"/>
                <w:lang w:val="en-US" w:eastAsia="zh-CN"/>
              </w:rPr>
              <w:t>：详见《投标邀请书》</w:t>
            </w:r>
          </w:p>
          <w:p w14:paraId="712847C5">
            <w:pPr>
              <w:numPr>
                <w:ilvl w:val="0"/>
                <w:numId w:val="0"/>
              </w:numPr>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项目编号</w:t>
            </w:r>
            <w:r>
              <w:rPr>
                <w:rFonts w:hint="eastAsia" w:ascii="宋体" w:hAnsi="宋体" w:eastAsia="宋体" w:cs="宋体"/>
                <w:sz w:val="24"/>
                <w:szCs w:val="24"/>
                <w:vertAlign w:val="baseline"/>
                <w:lang w:val="en-US" w:eastAsia="zh-CN"/>
              </w:rPr>
              <w:t>：详见《投标邀请书》</w:t>
            </w:r>
          </w:p>
          <w:p w14:paraId="5D290982">
            <w:pPr>
              <w:numPr>
                <w:ilvl w:val="0"/>
                <w:numId w:val="0"/>
              </w:numPr>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采购内容</w:t>
            </w:r>
            <w:r>
              <w:rPr>
                <w:rFonts w:hint="eastAsia" w:ascii="宋体" w:hAnsi="宋体" w:eastAsia="宋体" w:cs="宋体"/>
                <w:sz w:val="24"/>
                <w:szCs w:val="24"/>
                <w:vertAlign w:val="baseline"/>
                <w:lang w:val="en-US" w:eastAsia="zh-CN"/>
              </w:rPr>
              <w:t>：详见《投标邀请书》</w:t>
            </w:r>
          </w:p>
          <w:p w14:paraId="5E30B79C">
            <w:pPr>
              <w:numPr>
                <w:ilvl w:val="0"/>
                <w:numId w:val="0"/>
              </w:numPr>
              <w:rPr>
                <w:rFonts w:hint="default"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项目预算金额</w:t>
            </w:r>
            <w:r>
              <w:rPr>
                <w:rFonts w:hint="eastAsia" w:ascii="宋体" w:hAnsi="宋体" w:eastAsia="宋体" w:cs="宋体"/>
                <w:sz w:val="24"/>
                <w:szCs w:val="24"/>
                <w:vertAlign w:val="baseline"/>
                <w:lang w:val="en-US" w:eastAsia="zh-CN"/>
              </w:rPr>
              <w:t>：详见《投标邀请书》</w:t>
            </w:r>
          </w:p>
        </w:tc>
      </w:tr>
      <w:tr w14:paraId="6A38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14:paraId="39AB3501">
            <w:pPr>
              <w:numPr>
                <w:ilvl w:val="0"/>
                <w:numId w:val="0"/>
              </w:num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r>
              <w:rPr>
                <w:rFonts w:hint="eastAsia" w:ascii="宋体" w:hAnsi="宋体" w:cs="宋体"/>
                <w:sz w:val="24"/>
                <w:szCs w:val="24"/>
                <w:vertAlign w:val="baseline"/>
                <w:lang w:val="en-US" w:eastAsia="zh-CN"/>
              </w:rPr>
              <w:t>1</w:t>
            </w:r>
          </w:p>
        </w:tc>
        <w:tc>
          <w:tcPr>
            <w:tcW w:w="7499" w:type="dxa"/>
            <w:vAlign w:val="top"/>
          </w:tcPr>
          <w:p w14:paraId="19E4220C">
            <w:pPr>
              <w:numPr>
                <w:ilvl w:val="0"/>
                <w:numId w:val="0"/>
              </w:numPr>
              <w:spacing w:line="360" w:lineRule="auto"/>
              <w:jc w:val="both"/>
              <w:rPr>
                <w:rFonts w:hint="default"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合格投标人的资格要求</w:t>
            </w:r>
            <w:r>
              <w:rPr>
                <w:rFonts w:hint="eastAsia" w:ascii="宋体" w:hAnsi="宋体" w:eastAsia="宋体" w:cs="宋体"/>
                <w:sz w:val="24"/>
                <w:szCs w:val="24"/>
                <w:vertAlign w:val="baseline"/>
                <w:lang w:val="en-US" w:eastAsia="zh-CN"/>
              </w:rPr>
              <w:t>：详见《投标邀请书》</w:t>
            </w:r>
          </w:p>
        </w:tc>
      </w:tr>
      <w:tr w14:paraId="1808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14:paraId="35C3D68E">
            <w:pPr>
              <w:keepNext w:val="0"/>
              <w:keepLines w:val="0"/>
              <w:pageBreakBefore w:val="0"/>
              <w:widowControl w:val="0"/>
              <w:numPr>
                <w:ilvl w:val="0"/>
                <w:numId w:val="0"/>
              </w:numPr>
              <w:kinsoku/>
              <w:wordWrap/>
              <w:overflowPunct/>
              <w:topLinePunct w:val="0"/>
              <w:autoSpaceDE/>
              <w:autoSpaceDN/>
              <w:bidi w:val="0"/>
              <w:adjustRightInd/>
              <w:snapToGrid/>
              <w:spacing w:line="14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3.1</w:t>
            </w:r>
          </w:p>
        </w:tc>
        <w:tc>
          <w:tcPr>
            <w:tcW w:w="7499" w:type="dxa"/>
            <w:vAlign w:val="top"/>
          </w:tcPr>
          <w:p w14:paraId="01FD2C4A">
            <w:pPr>
              <w:numPr>
                <w:ilvl w:val="0"/>
                <w:numId w:val="0"/>
              </w:numPr>
              <w:jc w:val="both"/>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合格的货物和服务</w:t>
            </w:r>
            <w:r>
              <w:rPr>
                <w:rFonts w:hint="eastAsia" w:ascii="宋体" w:hAnsi="宋体" w:eastAsia="宋体" w:cs="宋体"/>
                <w:sz w:val="24"/>
                <w:szCs w:val="24"/>
                <w:vertAlign w:val="baseline"/>
                <w:lang w:val="en-US" w:eastAsia="zh-CN"/>
              </w:rPr>
              <w:t>：</w:t>
            </w:r>
          </w:p>
          <w:p w14:paraId="7C2CB49B">
            <w:pPr>
              <w:numPr>
                <w:ilvl w:val="0"/>
                <w:numId w:val="7"/>
              </w:num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本次招标第一章投标邀请标注“不接受进口产品或服务”的投标货物和服务的原产地应为中华人民共和国境内。</w:t>
            </w:r>
          </w:p>
          <w:p w14:paraId="36F2407B">
            <w:pPr>
              <w:numPr>
                <w:ilvl w:val="0"/>
                <w:numId w:val="7"/>
              </w:numPr>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本次招标第一章投标邀请标注“接受进口产品或服务”的投标货物或服务的原产地应为中华人民共和国境内或来自与之有正常贸易往来的国家或地区。</w:t>
            </w:r>
          </w:p>
        </w:tc>
      </w:tr>
      <w:tr w14:paraId="19D13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14:paraId="7E672FD2">
            <w:pPr>
              <w:numPr>
                <w:ilvl w:val="0"/>
                <w:numId w:val="0"/>
              </w:num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5.1</w:t>
            </w:r>
          </w:p>
        </w:tc>
        <w:tc>
          <w:tcPr>
            <w:tcW w:w="7499" w:type="dxa"/>
            <w:vAlign w:val="top"/>
          </w:tcPr>
          <w:p w14:paraId="27172BAC">
            <w:pPr>
              <w:numPr>
                <w:ilvl w:val="0"/>
                <w:numId w:val="0"/>
              </w:numPr>
              <w:spacing w:line="360" w:lineRule="auto"/>
              <w:jc w:val="both"/>
              <w:rPr>
                <w:rFonts w:hint="default"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踏勘现场</w:t>
            </w:r>
            <w:r>
              <w:rPr>
                <w:rFonts w:hint="eastAsia" w:ascii="宋体" w:hAnsi="宋体" w:eastAsia="宋体" w:cs="宋体"/>
                <w:sz w:val="24"/>
                <w:szCs w:val="24"/>
                <w:vertAlign w:val="baseline"/>
                <w:lang w:val="en-US" w:eastAsia="zh-CN"/>
              </w:rPr>
              <w:t>：详见《用户需求书》</w:t>
            </w:r>
          </w:p>
        </w:tc>
      </w:tr>
      <w:tr w14:paraId="3749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14:paraId="0AC7EB36">
            <w:pPr>
              <w:numPr>
                <w:ilvl w:val="0"/>
                <w:numId w:val="0"/>
              </w:num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10.1</w:t>
            </w:r>
          </w:p>
        </w:tc>
        <w:tc>
          <w:tcPr>
            <w:tcW w:w="7499" w:type="dxa"/>
            <w:vAlign w:val="top"/>
          </w:tcPr>
          <w:p w14:paraId="701981D1">
            <w:pPr>
              <w:numPr>
                <w:ilvl w:val="0"/>
                <w:numId w:val="0"/>
              </w:numPr>
              <w:spacing w:line="360" w:lineRule="auto"/>
              <w:jc w:val="both"/>
              <w:rPr>
                <w:rFonts w:hint="default"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投标语言</w:t>
            </w:r>
            <w:r>
              <w:rPr>
                <w:rFonts w:hint="eastAsia" w:ascii="宋体" w:hAnsi="宋体" w:eastAsia="宋体" w:cs="宋体"/>
                <w:sz w:val="24"/>
                <w:szCs w:val="24"/>
                <w:vertAlign w:val="baseline"/>
                <w:lang w:val="en-US" w:eastAsia="zh-CN"/>
              </w:rPr>
              <w:t>：中文（有关产品型号、专用名词等可除外）</w:t>
            </w:r>
          </w:p>
        </w:tc>
      </w:tr>
      <w:tr w14:paraId="20BD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14:paraId="10EB7228">
            <w:pPr>
              <w:numPr>
                <w:ilvl w:val="0"/>
                <w:numId w:val="0"/>
              </w:num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11.1</w:t>
            </w:r>
          </w:p>
        </w:tc>
        <w:tc>
          <w:tcPr>
            <w:tcW w:w="7499" w:type="dxa"/>
            <w:vAlign w:val="top"/>
          </w:tcPr>
          <w:p w14:paraId="7169EAFB">
            <w:pPr>
              <w:numPr>
                <w:ilvl w:val="0"/>
                <w:numId w:val="0"/>
              </w:numPr>
              <w:spacing w:line="360" w:lineRule="auto"/>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不接受选择性报价。</w:t>
            </w:r>
          </w:p>
        </w:tc>
      </w:tr>
      <w:tr w14:paraId="045BA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48" w:type="dxa"/>
            <w:gridSpan w:val="2"/>
          </w:tcPr>
          <w:p w14:paraId="1E2AB067">
            <w:pPr>
              <w:numPr>
                <w:ilvl w:val="0"/>
                <w:numId w:val="0"/>
              </w:numPr>
              <w:spacing w:line="480" w:lineRule="auto"/>
              <w:jc w:val="center"/>
              <w:rPr>
                <w:rFonts w:hint="default"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投标价格和币种</w:t>
            </w:r>
          </w:p>
        </w:tc>
      </w:tr>
      <w:tr w14:paraId="76FF7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14:paraId="67E092AC">
            <w:pPr>
              <w:numPr>
                <w:ilvl w:val="0"/>
                <w:numId w:val="0"/>
              </w:num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12.9</w:t>
            </w:r>
          </w:p>
        </w:tc>
        <w:tc>
          <w:tcPr>
            <w:tcW w:w="7499" w:type="dxa"/>
            <w:vAlign w:val="top"/>
          </w:tcPr>
          <w:p w14:paraId="16F62632">
            <w:pPr>
              <w:numPr>
                <w:ilvl w:val="0"/>
                <w:numId w:val="0"/>
              </w:numPr>
              <w:spacing w:line="360" w:lineRule="auto"/>
              <w:jc w:val="both"/>
              <w:rPr>
                <w:rFonts w:hint="default"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交货（服务）地点</w:t>
            </w:r>
            <w:r>
              <w:rPr>
                <w:rFonts w:hint="eastAsia" w:ascii="宋体" w:hAnsi="宋体" w:eastAsia="宋体" w:cs="宋体"/>
                <w:sz w:val="24"/>
                <w:szCs w:val="24"/>
                <w:vertAlign w:val="baseline"/>
                <w:lang w:val="en-US" w:eastAsia="zh-CN"/>
              </w:rPr>
              <w:t>：详见《用户需求书》</w:t>
            </w:r>
          </w:p>
        </w:tc>
      </w:tr>
      <w:tr w14:paraId="4C5C9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14:paraId="69402FF4">
            <w:pPr>
              <w:numPr>
                <w:ilvl w:val="0"/>
                <w:numId w:val="0"/>
              </w:num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13.1</w:t>
            </w:r>
          </w:p>
        </w:tc>
        <w:tc>
          <w:tcPr>
            <w:tcW w:w="7499" w:type="dxa"/>
            <w:vAlign w:val="top"/>
          </w:tcPr>
          <w:p w14:paraId="7ECB3328">
            <w:pPr>
              <w:numPr>
                <w:ilvl w:val="0"/>
                <w:numId w:val="0"/>
              </w:numPr>
              <w:spacing w:line="360" w:lineRule="auto"/>
              <w:jc w:val="both"/>
              <w:rPr>
                <w:rFonts w:hint="default"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投标币种</w:t>
            </w:r>
            <w:r>
              <w:rPr>
                <w:rFonts w:hint="eastAsia" w:ascii="宋体" w:hAnsi="宋体" w:eastAsia="宋体" w:cs="宋体"/>
                <w:sz w:val="24"/>
                <w:szCs w:val="24"/>
                <w:vertAlign w:val="baseline"/>
                <w:lang w:val="en-US" w:eastAsia="zh-CN"/>
              </w:rPr>
              <w:t>：人民币</w:t>
            </w:r>
          </w:p>
        </w:tc>
      </w:tr>
      <w:tr w14:paraId="08E5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48" w:type="dxa"/>
            <w:gridSpan w:val="2"/>
          </w:tcPr>
          <w:p w14:paraId="3EA5E226">
            <w:pPr>
              <w:numPr>
                <w:ilvl w:val="0"/>
                <w:numId w:val="0"/>
              </w:numPr>
              <w:spacing w:line="480" w:lineRule="auto"/>
              <w:jc w:val="center"/>
              <w:rPr>
                <w:rFonts w:hint="default"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标书的准备、递交和评审</w:t>
            </w:r>
          </w:p>
        </w:tc>
      </w:tr>
      <w:tr w14:paraId="29B5B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14:paraId="4436FB8B">
            <w:pPr>
              <w:numPr>
                <w:ilvl w:val="0"/>
                <w:numId w:val="0"/>
              </w:num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17.1</w:t>
            </w:r>
          </w:p>
        </w:tc>
        <w:tc>
          <w:tcPr>
            <w:tcW w:w="7499" w:type="dxa"/>
            <w:vAlign w:val="top"/>
          </w:tcPr>
          <w:p w14:paraId="52153EB3">
            <w:pPr>
              <w:numPr>
                <w:ilvl w:val="0"/>
                <w:numId w:val="0"/>
              </w:numPr>
              <w:spacing w:line="360" w:lineRule="auto"/>
              <w:jc w:val="both"/>
              <w:rPr>
                <w:rFonts w:hint="default"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投标有效期</w:t>
            </w:r>
            <w:r>
              <w:rPr>
                <w:rFonts w:hint="eastAsia" w:ascii="宋体" w:hAnsi="宋体" w:eastAsia="宋体" w:cs="宋体"/>
                <w:sz w:val="24"/>
                <w:szCs w:val="24"/>
                <w:vertAlign w:val="baseline"/>
                <w:lang w:val="en-US" w:eastAsia="zh-CN"/>
              </w:rPr>
              <w:t>：开标之日起</w:t>
            </w:r>
            <w:r>
              <w:rPr>
                <w:rFonts w:hint="eastAsia" w:ascii="宋体" w:hAnsi="宋体" w:cs="宋体"/>
                <w:sz w:val="24"/>
                <w:szCs w:val="24"/>
                <w:vertAlign w:val="baseline"/>
                <w:lang w:val="en-US" w:eastAsia="zh-CN"/>
              </w:rPr>
              <w:t>120</w:t>
            </w:r>
            <w:r>
              <w:rPr>
                <w:rFonts w:hint="eastAsia" w:ascii="宋体" w:hAnsi="宋体" w:eastAsia="宋体" w:cs="宋体"/>
                <w:sz w:val="24"/>
                <w:szCs w:val="24"/>
                <w:vertAlign w:val="baseline"/>
                <w:lang w:val="en-US" w:eastAsia="zh-CN"/>
              </w:rPr>
              <w:t>日</w:t>
            </w:r>
          </w:p>
        </w:tc>
      </w:tr>
      <w:tr w14:paraId="1B0AA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449" w:type="dxa"/>
          </w:tcPr>
          <w:p w14:paraId="3B4437D7">
            <w:pPr>
              <w:keepNext w:val="0"/>
              <w:keepLines w:val="0"/>
              <w:pageBreakBefore w:val="0"/>
              <w:widowControl w:val="0"/>
              <w:numPr>
                <w:ilvl w:val="0"/>
                <w:numId w:val="0"/>
              </w:numPr>
              <w:kinsoku/>
              <w:wordWrap/>
              <w:overflowPunct/>
              <w:topLinePunct w:val="0"/>
              <w:autoSpaceDE/>
              <w:autoSpaceDN/>
              <w:bidi w:val="0"/>
              <w:adjustRightInd/>
              <w:snapToGrid/>
              <w:spacing w:line="9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18.1</w:t>
            </w:r>
          </w:p>
        </w:tc>
        <w:tc>
          <w:tcPr>
            <w:tcW w:w="7499" w:type="dxa"/>
            <w:vAlign w:val="top"/>
          </w:tcPr>
          <w:p w14:paraId="6003FBFE">
            <w:pPr>
              <w:numPr>
                <w:ilvl w:val="0"/>
                <w:numId w:val="0"/>
              </w:numPr>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投标文件份数：</w:t>
            </w:r>
          </w:p>
          <w:p w14:paraId="3BEBB24B">
            <w:pPr>
              <w:numPr>
                <w:ilvl w:val="0"/>
                <w:numId w:val="0"/>
              </w:numPr>
              <w:jc w:val="both"/>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纸质文件一份正本、五份副本、一份开标文件，一份投标文件电子文档（电子文档包括：PDF格式的正本投标文件扫描件、与正本一致的word文档格式的投标文件及用EXCEL制作的投标一览表）。</w:t>
            </w:r>
          </w:p>
        </w:tc>
      </w:tr>
      <w:tr w14:paraId="353F3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14:paraId="0614BA19">
            <w:pPr>
              <w:numPr>
                <w:ilvl w:val="0"/>
                <w:numId w:val="0"/>
              </w:numPr>
              <w:spacing w:line="48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19.2</w:t>
            </w:r>
          </w:p>
        </w:tc>
        <w:tc>
          <w:tcPr>
            <w:tcW w:w="7499" w:type="dxa"/>
            <w:vAlign w:val="top"/>
          </w:tcPr>
          <w:p w14:paraId="21A0B9D5">
            <w:pPr>
              <w:numPr>
                <w:ilvl w:val="0"/>
                <w:numId w:val="0"/>
              </w:numPr>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投标文件将递交地址：</w:t>
            </w:r>
          </w:p>
          <w:p w14:paraId="01CCAD35">
            <w:pPr>
              <w:numPr>
                <w:ilvl w:val="0"/>
                <w:numId w:val="0"/>
              </w:numPr>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深圳市大鹏新区鹏飞路1-1深圳市第二实验学校明远高中</w:t>
            </w:r>
          </w:p>
        </w:tc>
      </w:tr>
      <w:tr w14:paraId="6F9FD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14:paraId="77991064">
            <w:pPr>
              <w:numPr>
                <w:ilvl w:val="0"/>
                <w:numId w:val="0"/>
              </w:num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21.1</w:t>
            </w:r>
          </w:p>
        </w:tc>
        <w:tc>
          <w:tcPr>
            <w:tcW w:w="7499" w:type="dxa"/>
            <w:vAlign w:val="top"/>
          </w:tcPr>
          <w:p w14:paraId="2CE76368">
            <w:pPr>
              <w:numPr>
                <w:ilvl w:val="0"/>
                <w:numId w:val="0"/>
              </w:numPr>
              <w:spacing w:line="360" w:lineRule="auto"/>
              <w:jc w:val="both"/>
              <w:rPr>
                <w:rFonts w:hint="default"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投标截标时间：</w:t>
            </w:r>
            <w:r>
              <w:rPr>
                <w:rFonts w:hint="eastAsia" w:ascii="宋体" w:hAnsi="宋体" w:eastAsia="宋体" w:cs="宋体"/>
                <w:sz w:val="24"/>
                <w:szCs w:val="24"/>
                <w:vertAlign w:val="baseline"/>
                <w:lang w:val="en-US" w:eastAsia="zh-CN"/>
              </w:rPr>
              <w:t>详见《投标邀请书》</w:t>
            </w:r>
          </w:p>
        </w:tc>
      </w:tr>
      <w:tr w14:paraId="4FE7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14:paraId="5517F873">
            <w:pPr>
              <w:numPr>
                <w:ilvl w:val="0"/>
                <w:numId w:val="0"/>
              </w:num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24.1</w:t>
            </w:r>
          </w:p>
        </w:tc>
        <w:tc>
          <w:tcPr>
            <w:tcW w:w="7499" w:type="dxa"/>
            <w:vAlign w:val="top"/>
          </w:tcPr>
          <w:p w14:paraId="288A3AEA">
            <w:pPr>
              <w:numPr>
                <w:ilvl w:val="0"/>
                <w:numId w:val="0"/>
              </w:numPr>
              <w:spacing w:line="360" w:lineRule="auto"/>
              <w:jc w:val="both"/>
              <w:rPr>
                <w:rFonts w:hint="default"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开标时间和地点：</w:t>
            </w:r>
            <w:r>
              <w:rPr>
                <w:rFonts w:hint="eastAsia" w:ascii="宋体" w:hAnsi="宋体" w:eastAsia="宋体" w:cs="宋体"/>
                <w:sz w:val="24"/>
                <w:szCs w:val="24"/>
                <w:vertAlign w:val="baseline"/>
                <w:lang w:val="en-US" w:eastAsia="zh-CN"/>
              </w:rPr>
              <w:t>详见《投标邀请书》</w:t>
            </w:r>
          </w:p>
        </w:tc>
      </w:tr>
      <w:tr w14:paraId="1012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14:paraId="4AF80807">
            <w:pPr>
              <w:numPr>
                <w:ilvl w:val="0"/>
                <w:numId w:val="0"/>
              </w:num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27.1.3</w:t>
            </w:r>
          </w:p>
        </w:tc>
        <w:tc>
          <w:tcPr>
            <w:tcW w:w="7499" w:type="dxa"/>
            <w:vAlign w:val="top"/>
          </w:tcPr>
          <w:p w14:paraId="0F70F760">
            <w:pPr>
              <w:numPr>
                <w:ilvl w:val="0"/>
                <w:numId w:val="0"/>
              </w:numPr>
              <w:spacing w:line="360" w:lineRule="auto"/>
              <w:jc w:val="both"/>
              <w:rPr>
                <w:rFonts w:hint="default"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投标将被拒绝或作投标无效处理</w:t>
            </w:r>
            <w:r>
              <w:rPr>
                <w:rFonts w:hint="eastAsia" w:ascii="宋体" w:hAnsi="宋体" w:eastAsia="宋体" w:cs="宋体"/>
                <w:sz w:val="24"/>
                <w:szCs w:val="24"/>
                <w:vertAlign w:val="baseline"/>
                <w:lang w:val="en-US" w:eastAsia="zh-CN"/>
              </w:rPr>
              <w:t>：无</w:t>
            </w:r>
          </w:p>
        </w:tc>
      </w:tr>
      <w:tr w14:paraId="6AF9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14:paraId="1284657A">
            <w:pPr>
              <w:numPr>
                <w:ilvl w:val="0"/>
                <w:numId w:val="0"/>
              </w:num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27.1.4</w:t>
            </w:r>
          </w:p>
        </w:tc>
        <w:tc>
          <w:tcPr>
            <w:tcW w:w="7499" w:type="dxa"/>
            <w:vAlign w:val="top"/>
          </w:tcPr>
          <w:p w14:paraId="4283BDD7">
            <w:pPr>
              <w:numPr>
                <w:ilvl w:val="0"/>
                <w:numId w:val="0"/>
              </w:numPr>
              <w:spacing w:line="360" w:lineRule="auto"/>
              <w:jc w:val="both"/>
              <w:rPr>
                <w:rFonts w:hint="default"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初审内容详见后附《关键信息表》</w:t>
            </w:r>
          </w:p>
        </w:tc>
      </w:tr>
    </w:tbl>
    <w:p w14:paraId="036FEC61">
      <w:pPr>
        <w:numPr>
          <w:ilvl w:val="0"/>
          <w:numId w:val="0"/>
        </w:numPr>
        <w:ind w:firstLine="420" w:firstLineChars="0"/>
        <w:jc w:val="center"/>
        <w:rPr>
          <w:rFonts w:hint="default"/>
          <w:lang w:val="en-US" w:eastAsia="zh-CN"/>
        </w:rPr>
      </w:pPr>
    </w:p>
    <w:p w14:paraId="7F766423">
      <w:pPr>
        <w:pageBreakBefore w:val="0"/>
        <w:widowControl/>
        <w:numPr>
          <w:ilvl w:val="0"/>
          <w:numId w:val="0"/>
        </w:numPr>
        <w:kinsoku/>
        <w:wordWrap/>
        <w:overflowPunct/>
        <w:topLinePunct w:val="0"/>
        <w:bidi w:val="0"/>
        <w:snapToGrid/>
        <w:spacing w:line="360" w:lineRule="auto"/>
        <w:jc w:val="center"/>
        <w:textAlignment w:val="auto"/>
        <w:rPr>
          <w:rFonts w:hint="eastAsia" w:ascii="宋体" w:hAnsi="宋体" w:eastAsia="宋体" w:cs="宋体"/>
          <w:b/>
          <w:bCs/>
          <w:color w:val="auto"/>
          <w:sz w:val="32"/>
          <w:szCs w:val="32"/>
          <w:lang w:val="en-US" w:eastAsia="zh-CN"/>
        </w:rPr>
      </w:pPr>
    </w:p>
    <w:p w14:paraId="3869FA62">
      <w:pPr>
        <w:pageBreakBefore w:val="0"/>
        <w:widowControl/>
        <w:numPr>
          <w:ilvl w:val="0"/>
          <w:numId w:val="0"/>
        </w:numPr>
        <w:kinsoku/>
        <w:wordWrap/>
        <w:overflowPunct/>
        <w:topLinePunct w:val="0"/>
        <w:bidi w:val="0"/>
        <w:snapToGrid/>
        <w:spacing w:line="360" w:lineRule="auto"/>
        <w:jc w:val="center"/>
        <w:textAlignment w:val="auto"/>
        <w:rPr>
          <w:rFonts w:hint="eastAsia" w:ascii="宋体" w:hAnsi="宋体" w:eastAsia="宋体" w:cs="宋体"/>
          <w:b/>
          <w:bCs/>
          <w:color w:val="auto"/>
          <w:sz w:val="32"/>
          <w:szCs w:val="32"/>
          <w:lang w:val="en-US" w:eastAsia="zh-CN"/>
        </w:rPr>
      </w:pPr>
    </w:p>
    <w:p w14:paraId="3891EE22">
      <w:pPr>
        <w:pageBreakBefore w:val="0"/>
        <w:widowControl/>
        <w:numPr>
          <w:ilvl w:val="0"/>
          <w:numId w:val="0"/>
        </w:numPr>
        <w:kinsoku/>
        <w:wordWrap/>
        <w:overflowPunct/>
        <w:topLinePunct w:val="0"/>
        <w:bidi w:val="0"/>
        <w:snapToGrid/>
        <w:spacing w:line="360" w:lineRule="auto"/>
        <w:jc w:val="center"/>
        <w:textAlignment w:val="auto"/>
        <w:rPr>
          <w:rFonts w:hint="eastAsia" w:ascii="宋体" w:hAnsi="宋体" w:eastAsia="宋体" w:cs="宋体"/>
          <w:b/>
          <w:bCs/>
          <w:color w:val="auto"/>
          <w:sz w:val="32"/>
          <w:szCs w:val="32"/>
          <w:lang w:val="en-US" w:eastAsia="zh-CN"/>
        </w:rPr>
      </w:pPr>
    </w:p>
    <w:p w14:paraId="6FDADB1E">
      <w:pPr>
        <w:pageBreakBefore w:val="0"/>
        <w:widowControl/>
        <w:numPr>
          <w:ilvl w:val="0"/>
          <w:numId w:val="0"/>
        </w:numPr>
        <w:kinsoku/>
        <w:wordWrap/>
        <w:overflowPunct/>
        <w:topLinePunct w:val="0"/>
        <w:bidi w:val="0"/>
        <w:snapToGrid/>
        <w:spacing w:line="360" w:lineRule="auto"/>
        <w:jc w:val="center"/>
        <w:textAlignment w:val="auto"/>
        <w:rPr>
          <w:rFonts w:hint="eastAsia" w:ascii="宋体" w:hAnsi="宋体" w:eastAsia="宋体" w:cs="宋体"/>
          <w:b/>
          <w:bCs/>
          <w:color w:val="auto"/>
          <w:sz w:val="32"/>
          <w:szCs w:val="32"/>
          <w:lang w:val="en-US" w:eastAsia="zh-CN"/>
        </w:rPr>
      </w:pPr>
    </w:p>
    <w:p w14:paraId="7A743963">
      <w:pPr>
        <w:pageBreakBefore w:val="0"/>
        <w:widowControl/>
        <w:numPr>
          <w:ilvl w:val="0"/>
          <w:numId w:val="0"/>
        </w:numPr>
        <w:kinsoku/>
        <w:wordWrap/>
        <w:overflowPunct/>
        <w:topLinePunct w:val="0"/>
        <w:bidi w:val="0"/>
        <w:snapToGrid/>
        <w:spacing w:line="360" w:lineRule="auto"/>
        <w:jc w:val="center"/>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附：关键信息表</w:t>
      </w:r>
    </w:p>
    <w:p w14:paraId="48B9B613">
      <w:pPr>
        <w:pageBreakBefore w:val="0"/>
        <w:widowControl/>
        <w:numPr>
          <w:ilvl w:val="0"/>
          <w:numId w:val="8"/>
        </w:numPr>
        <w:kinsoku/>
        <w:wordWrap/>
        <w:overflowPunct/>
        <w:topLinePunct w:val="0"/>
        <w:bidi w:val="0"/>
        <w:snapToGrid/>
        <w:spacing w:line="360" w:lineRule="auto"/>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30"/>
          <w:szCs w:val="30"/>
          <w:lang w:val="en-US" w:eastAsia="zh-CN"/>
        </w:rPr>
        <w:t>初审内容</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8036"/>
      </w:tblGrid>
      <w:tr w14:paraId="5DC4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gridSpan w:val="2"/>
          </w:tcPr>
          <w:p w14:paraId="54397909">
            <w:pPr>
              <w:pageBreakBefore w:val="0"/>
              <w:widowControl/>
              <w:numPr>
                <w:ilvl w:val="0"/>
                <w:numId w:val="0"/>
              </w:numPr>
              <w:kinsoku/>
              <w:wordWrap/>
              <w:overflowPunct/>
              <w:topLinePunct w:val="0"/>
              <w:bidi w:val="0"/>
              <w:snapToGrid/>
              <w:spacing w:line="360" w:lineRule="auto"/>
              <w:jc w:val="center"/>
              <w:textAlignment w:val="auto"/>
              <w:rPr>
                <w:rFonts w:hint="default" w:ascii="宋体" w:hAnsi="宋体" w:eastAsia="宋体" w:cs="宋体"/>
                <w:b/>
                <w:bCs/>
                <w:color w:val="auto"/>
                <w:sz w:val="28"/>
                <w:szCs w:val="28"/>
                <w:vertAlign w:val="baseline"/>
                <w:lang w:val="en-US" w:eastAsia="zh-CN"/>
              </w:rPr>
            </w:pPr>
            <w:r>
              <w:rPr>
                <w:rFonts w:hint="eastAsia" w:ascii="宋体" w:hAnsi="宋体" w:eastAsia="宋体" w:cs="宋体"/>
                <w:b/>
                <w:bCs/>
                <w:color w:val="auto"/>
                <w:sz w:val="28"/>
                <w:szCs w:val="28"/>
                <w:vertAlign w:val="baseline"/>
                <w:lang w:val="en-US" w:eastAsia="zh-CN"/>
              </w:rPr>
              <w:t>（一）资格性审查表</w:t>
            </w:r>
          </w:p>
        </w:tc>
      </w:tr>
      <w:tr w14:paraId="001F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12" w:type="dxa"/>
          </w:tcPr>
          <w:p w14:paraId="7C38E2CD">
            <w:pPr>
              <w:pageBreakBefore w:val="0"/>
              <w:widowControl/>
              <w:numPr>
                <w:ilvl w:val="0"/>
                <w:numId w:val="0"/>
              </w:numPr>
              <w:kinsoku/>
              <w:wordWrap/>
              <w:overflowPunct/>
              <w:topLinePunct w:val="0"/>
              <w:bidi w:val="0"/>
              <w:snapToGrid/>
              <w:spacing w:line="240" w:lineRule="auto"/>
              <w:jc w:val="center"/>
              <w:textAlignment w:val="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序号</w:t>
            </w:r>
          </w:p>
        </w:tc>
        <w:tc>
          <w:tcPr>
            <w:tcW w:w="8036" w:type="dxa"/>
          </w:tcPr>
          <w:p w14:paraId="098CB5DF">
            <w:pPr>
              <w:pageBreakBefore w:val="0"/>
              <w:widowControl/>
              <w:numPr>
                <w:ilvl w:val="0"/>
                <w:numId w:val="0"/>
              </w:numPr>
              <w:kinsoku/>
              <w:wordWrap/>
              <w:overflowPunct/>
              <w:topLinePunct w:val="0"/>
              <w:bidi w:val="0"/>
              <w:snapToGrid/>
              <w:spacing w:line="240" w:lineRule="auto"/>
              <w:jc w:val="center"/>
              <w:textAlignment w:val="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内容</w:t>
            </w:r>
          </w:p>
        </w:tc>
      </w:tr>
      <w:tr w14:paraId="7737E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14:paraId="30E7EA43">
            <w:pPr>
              <w:pageBreakBefore w:val="0"/>
              <w:widowControl/>
              <w:numPr>
                <w:ilvl w:val="0"/>
                <w:numId w:val="0"/>
              </w:numPr>
              <w:kinsoku/>
              <w:wordWrap/>
              <w:overflowPunct/>
              <w:topLinePunct w:val="0"/>
              <w:bidi w:val="0"/>
              <w:snapToGrid/>
              <w:spacing w:line="720" w:lineRule="auto"/>
              <w:jc w:val="center"/>
              <w:textAlignment w:val="auto"/>
              <w:rPr>
                <w:rFonts w:hint="default" w:ascii="宋体" w:hAnsi="宋体" w:eastAsia="宋体" w:cs="宋体"/>
                <w:b/>
                <w:bCs/>
                <w:color w:val="auto"/>
                <w:sz w:val="28"/>
                <w:szCs w:val="28"/>
                <w:vertAlign w:val="baseline"/>
                <w:lang w:val="en-US" w:eastAsia="zh-CN"/>
              </w:rPr>
            </w:pPr>
            <w:r>
              <w:rPr>
                <w:rFonts w:hint="eastAsia" w:ascii="宋体" w:hAnsi="宋体" w:eastAsia="宋体" w:cs="宋体"/>
                <w:b/>
                <w:bCs/>
                <w:color w:val="auto"/>
                <w:sz w:val="21"/>
                <w:szCs w:val="21"/>
                <w:vertAlign w:val="baseline"/>
                <w:lang w:val="en-US" w:eastAsia="zh-CN"/>
              </w:rPr>
              <w:t>1</w:t>
            </w:r>
          </w:p>
        </w:tc>
        <w:tc>
          <w:tcPr>
            <w:tcW w:w="8036" w:type="dxa"/>
          </w:tcPr>
          <w:p w14:paraId="1BFB7CA4">
            <w:pPr>
              <w:pageBreakBefore w:val="0"/>
              <w:widowControl/>
              <w:numPr>
                <w:ilvl w:val="0"/>
                <w:numId w:val="0"/>
              </w:numPr>
              <w:kinsoku/>
              <w:wordWrap/>
              <w:overflowPunct/>
              <w:topLinePunct w:val="0"/>
              <w:bidi w:val="0"/>
              <w:snapToGrid/>
              <w:spacing w:line="240" w:lineRule="auto"/>
              <w:jc w:val="both"/>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营业执照及税务登记证（若提供的营业执照为三证合一，则税务登记证可不单独提供）</w:t>
            </w:r>
          </w:p>
          <w:p w14:paraId="3FE0A4FC">
            <w:pPr>
              <w:pageBreakBefore w:val="0"/>
              <w:widowControl/>
              <w:numPr>
                <w:ilvl w:val="0"/>
                <w:numId w:val="0"/>
              </w:numPr>
              <w:kinsoku/>
              <w:wordWrap/>
              <w:overflowPunct/>
              <w:topLinePunct w:val="0"/>
              <w:bidi w:val="0"/>
              <w:snapToGrid/>
              <w:spacing w:line="240" w:lineRule="auto"/>
              <w:jc w:val="both"/>
              <w:textAlignment w:val="auto"/>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包括但不限于：①未按要求提供有效的营业执照等复印件加盖投标人公章；②提供的复印件字迹模糊、无法辨认的。</w:t>
            </w:r>
          </w:p>
        </w:tc>
      </w:tr>
      <w:tr w14:paraId="24AC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14:paraId="010F1675">
            <w:pPr>
              <w:pageBreakBefore w:val="0"/>
              <w:widowControl/>
              <w:numPr>
                <w:ilvl w:val="0"/>
                <w:numId w:val="0"/>
              </w:numPr>
              <w:kinsoku/>
              <w:wordWrap/>
              <w:overflowPunct/>
              <w:topLinePunct w:val="0"/>
              <w:bidi w:val="0"/>
              <w:snapToGrid/>
              <w:spacing w:line="720" w:lineRule="auto"/>
              <w:jc w:val="center"/>
              <w:textAlignment w:val="auto"/>
              <w:rPr>
                <w:rFonts w:hint="default"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2</w:t>
            </w:r>
          </w:p>
        </w:tc>
        <w:tc>
          <w:tcPr>
            <w:tcW w:w="8036" w:type="dxa"/>
          </w:tcPr>
          <w:p w14:paraId="0FD7897A">
            <w:pPr>
              <w:pageBreakBefore w:val="0"/>
              <w:widowControl/>
              <w:numPr>
                <w:ilvl w:val="0"/>
                <w:numId w:val="0"/>
              </w:numPr>
              <w:kinsoku/>
              <w:wordWrap/>
              <w:overflowPunct/>
              <w:topLinePunct w:val="0"/>
              <w:bidi w:val="0"/>
              <w:snapToGrid/>
              <w:spacing w:line="240" w:lineRule="auto"/>
              <w:jc w:val="both"/>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法人代表证明书</w:t>
            </w:r>
          </w:p>
          <w:p w14:paraId="1AED557A">
            <w:pPr>
              <w:pageBreakBefore w:val="0"/>
              <w:widowControl/>
              <w:numPr>
                <w:ilvl w:val="0"/>
                <w:numId w:val="0"/>
              </w:numPr>
              <w:kinsoku/>
              <w:wordWrap/>
              <w:overflowPunct/>
              <w:topLinePunct w:val="0"/>
              <w:bidi w:val="0"/>
              <w:snapToGrid/>
              <w:spacing w:line="240" w:lineRule="auto"/>
              <w:jc w:val="both"/>
              <w:textAlignment w:val="auto"/>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包括但不限于①未按要求提供有效的法人代表证明书；②未加盖公章、法定代表人（或授权代表）未签字的；③提供的证明书字迹模糊、无法辨认的。</w:t>
            </w:r>
          </w:p>
        </w:tc>
      </w:tr>
      <w:tr w14:paraId="7E29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14:paraId="24F3A4A5">
            <w:pPr>
              <w:keepNext w:val="0"/>
              <w:keepLines w:val="0"/>
              <w:pageBreakBefore w:val="0"/>
              <w:widowControl/>
              <w:numPr>
                <w:ilvl w:val="0"/>
                <w:numId w:val="0"/>
              </w:numPr>
              <w:kinsoku/>
              <w:wordWrap/>
              <w:overflowPunct/>
              <w:topLinePunct w:val="0"/>
              <w:autoSpaceDE/>
              <w:autoSpaceDN/>
              <w:bidi w:val="0"/>
              <w:adjustRightInd/>
              <w:snapToGrid/>
              <w:spacing w:line="1200" w:lineRule="auto"/>
              <w:jc w:val="center"/>
              <w:textAlignment w:val="auto"/>
              <w:rPr>
                <w:rFonts w:hint="default" w:ascii="宋体" w:hAnsi="宋体" w:eastAsia="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3</w:t>
            </w:r>
          </w:p>
        </w:tc>
        <w:tc>
          <w:tcPr>
            <w:tcW w:w="8036" w:type="dxa"/>
          </w:tcPr>
          <w:p w14:paraId="1B98E864">
            <w:pPr>
              <w:pStyle w:val="14"/>
              <w:spacing w:before="0" w:after="0"/>
              <w:jc w:val="both"/>
              <w:outlineLvl w:val="2"/>
              <w:rPr>
                <w:rFonts w:ascii="宋体" w:hAnsi="宋体" w:cs="宋体"/>
                <w:bCs w:val="0"/>
                <w:color w:val="auto"/>
                <w:sz w:val="21"/>
                <w:szCs w:val="21"/>
                <w:highlight w:val="none"/>
              </w:rPr>
            </w:pPr>
            <w:bookmarkStart w:id="3" w:name="_Toc16750"/>
            <w:r>
              <w:rPr>
                <w:rFonts w:hint="eastAsia" w:ascii="宋体" w:hAnsi="宋体" w:cs="宋体"/>
                <w:bCs w:val="0"/>
                <w:color w:val="auto"/>
                <w:sz w:val="21"/>
                <w:szCs w:val="21"/>
                <w:highlight w:val="none"/>
              </w:rPr>
              <w:t>法人授权委托证明书</w:t>
            </w:r>
            <w:bookmarkEnd w:id="3"/>
          </w:p>
          <w:p w14:paraId="18533C6B">
            <w:pPr>
              <w:pageBreakBefore w:val="0"/>
              <w:widowControl/>
              <w:numPr>
                <w:ilvl w:val="0"/>
                <w:numId w:val="0"/>
              </w:numPr>
              <w:kinsoku/>
              <w:wordWrap/>
              <w:overflowPunct/>
              <w:topLinePunct w:val="0"/>
              <w:bidi w:val="0"/>
              <w:snapToGrid/>
              <w:spacing w:line="240" w:lineRule="auto"/>
              <w:jc w:val="both"/>
              <w:textAlignment w:val="auto"/>
              <w:rPr>
                <w:rFonts w:hint="default" w:ascii="宋体" w:hAnsi="宋体" w:eastAsia="宋体" w:cs="宋体"/>
                <w:b/>
                <w:bCs/>
                <w:color w:val="auto"/>
                <w:sz w:val="21"/>
                <w:szCs w:val="21"/>
                <w:vertAlign w:val="baseline"/>
                <w:lang w:val="en-US" w:eastAsia="zh-CN"/>
              </w:rPr>
            </w:pPr>
            <w:r>
              <w:rPr>
                <w:rFonts w:hint="eastAsia" w:ascii="宋体" w:hAnsi="宋体" w:cs="宋体"/>
                <w:b w:val="0"/>
                <w:color w:val="auto"/>
                <w:sz w:val="21"/>
                <w:szCs w:val="21"/>
                <w:highlight w:val="none"/>
              </w:rPr>
              <w:t>包括但不限于：①提供的委托书字迹模糊、无法辨认的；③须提供投标单位为被授权人购买的开标日前一个月载有社保部门公章的社保缴交证明材料（如开标日上一个月的社保材料因社保部门原因暂时无法取得，则可以往前顺延一个月）；授权代表不得为其他投标人法定代表人（负责人）或其他投标人员工。</w:t>
            </w:r>
          </w:p>
        </w:tc>
      </w:tr>
      <w:tr w14:paraId="5F55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14:paraId="1345FD87">
            <w:pPr>
              <w:pageBreakBefore w:val="0"/>
              <w:widowControl/>
              <w:numPr>
                <w:ilvl w:val="0"/>
                <w:numId w:val="0"/>
              </w:numPr>
              <w:kinsoku/>
              <w:wordWrap/>
              <w:overflowPunct/>
              <w:topLinePunct w:val="0"/>
              <w:bidi w:val="0"/>
              <w:snapToGrid/>
              <w:spacing w:line="720" w:lineRule="auto"/>
              <w:jc w:val="center"/>
              <w:textAlignment w:val="auto"/>
              <w:rPr>
                <w:rFonts w:hint="default" w:ascii="宋体" w:hAnsi="宋体" w:eastAsia="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4</w:t>
            </w:r>
          </w:p>
        </w:tc>
        <w:tc>
          <w:tcPr>
            <w:tcW w:w="8036" w:type="dxa"/>
          </w:tcPr>
          <w:p w14:paraId="3CEE44F1">
            <w:pPr>
              <w:pStyle w:val="14"/>
              <w:spacing w:before="0" w:after="0"/>
              <w:jc w:val="left"/>
              <w:outlineLvl w:val="2"/>
              <w:rPr>
                <w:rFonts w:ascii="宋体" w:hAnsi="宋体" w:cs="宋体"/>
                <w:bCs w:val="0"/>
                <w:color w:val="auto"/>
                <w:sz w:val="21"/>
                <w:szCs w:val="21"/>
                <w:highlight w:val="none"/>
              </w:rPr>
            </w:pPr>
            <w:bookmarkStart w:id="4" w:name="_Toc21728"/>
            <w:r>
              <w:rPr>
                <w:rFonts w:hint="eastAsia" w:ascii="宋体" w:hAnsi="宋体" w:cs="宋体"/>
                <w:bCs w:val="0"/>
                <w:color w:val="auto"/>
                <w:sz w:val="21"/>
                <w:szCs w:val="21"/>
                <w:highlight w:val="none"/>
              </w:rPr>
              <w:t>投标人《政府采购投标及履约承诺函》</w:t>
            </w:r>
            <w:bookmarkEnd w:id="4"/>
          </w:p>
          <w:p w14:paraId="4D8D4B04">
            <w:pPr>
              <w:pageBreakBefore w:val="0"/>
              <w:widowControl/>
              <w:numPr>
                <w:ilvl w:val="0"/>
                <w:numId w:val="0"/>
              </w:numPr>
              <w:kinsoku/>
              <w:wordWrap/>
              <w:overflowPunct/>
              <w:topLinePunct w:val="0"/>
              <w:bidi w:val="0"/>
              <w:snapToGrid/>
              <w:spacing w:line="240" w:lineRule="auto"/>
              <w:jc w:val="both"/>
              <w:textAlignment w:val="auto"/>
              <w:rPr>
                <w:rFonts w:hint="default" w:ascii="宋体" w:hAnsi="宋体" w:eastAsia="宋体" w:cs="宋体"/>
                <w:b/>
                <w:bCs/>
                <w:color w:val="auto"/>
                <w:sz w:val="21"/>
                <w:szCs w:val="21"/>
                <w:vertAlign w:val="baseline"/>
                <w:lang w:val="en-US" w:eastAsia="zh-CN"/>
              </w:rPr>
            </w:pPr>
            <w:bookmarkStart w:id="5" w:name="_Toc22953"/>
            <w:r>
              <w:rPr>
                <w:rFonts w:hint="eastAsia" w:ascii="宋体" w:hAnsi="宋体" w:cs="宋体"/>
                <w:b w:val="0"/>
                <w:color w:val="auto"/>
                <w:sz w:val="21"/>
                <w:szCs w:val="21"/>
                <w:highlight w:val="none"/>
              </w:rPr>
              <w:t>包括但不限于：①未加盖公章；②未完整清晰涵盖投标人资格要求中需承诺的内容的；③提供的承诺书字迹模糊、无法辨认的。</w:t>
            </w:r>
            <w:bookmarkEnd w:id="5"/>
          </w:p>
        </w:tc>
      </w:tr>
      <w:tr w14:paraId="7F82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14:paraId="1CEDFAE9">
            <w:pPr>
              <w:pageBreakBefore w:val="0"/>
              <w:widowControl/>
              <w:numPr>
                <w:ilvl w:val="0"/>
                <w:numId w:val="0"/>
              </w:numPr>
              <w:kinsoku/>
              <w:wordWrap/>
              <w:overflowPunct/>
              <w:topLinePunct w:val="0"/>
              <w:bidi w:val="0"/>
              <w:snapToGrid/>
              <w:spacing w:line="720" w:lineRule="auto"/>
              <w:jc w:val="center"/>
              <w:textAlignment w:val="auto"/>
              <w:rPr>
                <w:rFonts w:hint="default" w:ascii="宋体" w:hAnsi="宋体" w:eastAsia="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5</w:t>
            </w:r>
          </w:p>
        </w:tc>
        <w:tc>
          <w:tcPr>
            <w:tcW w:w="8036" w:type="dxa"/>
          </w:tcPr>
          <w:p w14:paraId="77013F73">
            <w:pPr>
              <w:pStyle w:val="14"/>
              <w:spacing w:before="0" w:after="0"/>
              <w:jc w:val="both"/>
              <w:outlineLvl w:val="2"/>
              <w:rPr>
                <w:rFonts w:hint="eastAsia" w:ascii="宋体" w:hAnsi="宋体" w:cs="宋体"/>
                <w:bCs w:val="0"/>
                <w:color w:val="auto"/>
                <w:sz w:val="21"/>
                <w:szCs w:val="21"/>
                <w:highlight w:val="none"/>
              </w:rPr>
            </w:pPr>
            <w:bookmarkStart w:id="6" w:name="_Toc345"/>
            <w:r>
              <w:rPr>
                <w:rFonts w:hint="eastAsia" w:ascii="宋体" w:hAnsi="宋体" w:cs="宋体"/>
                <w:bCs w:val="0"/>
                <w:color w:val="auto"/>
                <w:sz w:val="21"/>
                <w:szCs w:val="21"/>
                <w:highlight w:val="none"/>
              </w:rPr>
              <w:t>投标报价</w:t>
            </w:r>
            <w:bookmarkEnd w:id="6"/>
          </w:p>
          <w:p w14:paraId="36619DFE">
            <w:pPr>
              <w:pageBreakBefore w:val="0"/>
              <w:widowControl/>
              <w:numPr>
                <w:ilvl w:val="0"/>
                <w:numId w:val="0"/>
              </w:numPr>
              <w:kinsoku/>
              <w:wordWrap/>
              <w:overflowPunct/>
              <w:topLinePunct w:val="0"/>
              <w:bidi w:val="0"/>
              <w:snapToGrid/>
              <w:spacing w:line="240" w:lineRule="auto"/>
              <w:jc w:val="both"/>
              <w:textAlignment w:val="auto"/>
              <w:rPr>
                <w:rFonts w:hint="default" w:ascii="宋体" w:hAnsi="宋体" w:eastAsia="宋体" w:cs="宋体"/>
                <w:b/>
                <w:bCs/>
                <w:color w:val="auto"/>
                <w:sz w:val="21"/>
                <w:szCs w:val="21"/>
                <w:vertAlign w:val="baseline"/>
                <w:lang w:val="en-US" w:eastAsia="zh-CN"/>
              </w:rPr>
            </w:pPr>
            <w:bookmarkStart w:id="7" w:name="_Toc771"/>
            <w:bookmarkStart w:id="8" w:name="_Toc29317"/>
            <w:r>
              <w:rPr>
                <w:rFonts w:hint="eastAsia" w:ascii="宋体" w:hAnsi="宋体" w:cs="宋体"/>
                <w:b w:val="0"/>
                <w:color w:val="auto"/>
                <w:sz w:val="21"/>
                <w:szCs w:val="21"/>
                <w:highlight w:val="none"/>
              </w:rPr>
              <w:t>包括但不限于：①投标报价超出招标文件规定的预算控制金额上限的；②投标报价未按招标文件要求的；③投标报价包含价格调整要求的。</w:t>
            </w:r>
            <w:bookmarkEnd w:id="7"/>
            <w:bookmarkEnd w:id="8"/>
          </w:p>
        </w:tc>
      </w:tr>
      <w:tr w14:paraId="656C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gridSpan w:val="2"/>
          </w:tcPr>
          <w:p w14:paraId="17845BD8">
            <w:pPr>
              <w:pageBreakBefore w:val="0"/>
              <w:widowControl/>
              <w:numPr>
                <w:ilvl w:val="0"/>
                <w:numId w:val="0"/>
              </w:numPr>
              <w:kinsoku/>
              <w:wordWrap/>
              <w:overflowPunct/>
              <w:topLinePunct w:val="0"/>
              <w:bidi w:val="0"/>
              <w:snapToGrid/>
              <w:spacing w:line="360" w:lineRule="auto"/>
              <w:jc w:val="center"/>
              <w:textAlignment w:val="auto"/>
              <w:rPr>
                <w:rFonts w:hint="default" w:ascii="宋体" w:hAnsi="宋体" w:eastAsia="宋体" w:cs="宋体"/>
                <w:b/>
                <w:bCs/>
                <w:color w:val="auto"/>
                <w:sz w:val="28"/>
                <w:szCs w:val="28"/>
                <w:vertAlign w:val="baseline"/>
                <w:lang w:val="en-US" w:eastAsia="zh-CN"/>
              </w:rPr>
            </w:pPr>
            <w:r>
              <w:rPr>
                <w:rFonts w:hint="eastAsia" w:ascii="宋体" w:hAnsi="宋体" w:cs="宋体"/>
                <w:b/>
                <w:bCs/>
                <w:color w:val="auto"/>
                <w:sz w:val="28"/>
                <w:szCs w:val="28"/>
                <w:vertAlign w:val="baseline"/>
                <w:lang w:val="en-US" w:eastAsia="zh-CN"/>
              </w:rPr>
              <w:t>（二）符合性审查表</w:t>
            </w:r>
          </w:p>
        </w:tc>
      </w:tr>
      <w:tr w14:paraId="7070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top"/>
          </w:tcPr>
          <w:p w14:paraId="4DB24FDD">
            <w:pPr>
              <w:pageBreakBefore w:val="0"/>
              <w:widowControl/>
              <w:numPr>
                <w:ilvl w:val="0"/>
                <w:numId w:val="0"/>
              </w:numPr>
              <w:kinsoku/>
              <w:wordWrap/>
              <w:overflowPunct/>
              <w:topLinePunct w:val="0"/>
              <w:bidi w:val="0"/>
              <w:snapToGrid/>
              <w:spacing w:line="360" w:lineRule="auto"/>
              <w:ind w:left="0" w:leftChars="0" w:firstLine="0" w:firstLineChars="0"/>
              <w:jc w:val="center"/>
              <w:textAlignment w:val="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序号</w:t>
            </w:r>
          </w:p>
        </w:tc>
        <w:tc>
          <w:tcPr>
            <w:tcW w:w="8036" w:type="dxa"/>
            <w:vAlign w:val="top"/>
          </w:tcPr>
          <w:p w14:paraId="3B2AD290">
            <w:pPr>
              <w:pageBreakBefore w:val="0"/>
              <w:widowControl/>
              <w:numPr>
                <w:ilvl w:val="0"/>
                <w:numId w:val="0"/>
              </w:numPr>
              <w:kinsoku/>
              <w:wordWrap/>
              <w:overflowPunct/>
              <w:topLinePunct w:val="0"/>
              <w:bidi w:val="0"/>
              <w:snapToGrid/>
              <w:spacing w:line="360" w:lineRule="auto"/>
              <w:ind w:left="0" w:leftChars="0" w:firstLine="0" w:firstLineChars="0"/>
              <w:jc w:val="center"/>
              <w:textAlignment w:val="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内容</w:t>
            </w:r>
          </w:p>
        </w:tc>
      </w:tr>
      <w:tr w14:paraId="219D2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14:paraId="73823D64">
            <w:pPr>
              <w:pageBreakBefore w:val="0"/>
              <w:widowControl/>
              <w:numPr>
                <w:ilvl w:val="0"/>
                <w:numId w:val="0"/>
              </w:numPr>
              <w:kinsoku/>
              <w:wordWrap/>
              <w:overflowPunct/>
              <w:topLinePunct w:val="0"/>
              <w:bidi w:val="0"/>
              <w:snapToGrid/>
              <w:spacing w:line="720" w:lineRule="auto"/>
              <w:jc w:val="center"/>
              <w:textAlignment w:val="auto"/>
              <w:rPr>
                <w:rFonts w:hint="default" w:ascii="宋体" w:hAnsi="宋体" w:eastAsia="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1</w:t>
            </w:r>
          </w:p>
        </w:tc>
        <w:tc>
          <w:tcPr>
            <w:tcW w:w="8036" w:type="dxa"/>
          </w:tcPr>
          <w:p w14:paraId="246D3FD3">
            <w:pPr>
              <w:pStyle w:val="14"/>
              <w:spacing w:before="0" w:after="0"/>
              <w:jc w:val="both"/>
              <w:outlineLvl w:val="2"/>
              <w:rPr>
                <w:rFonts w:hint="eastAsia" w:ascii="宋体" w:hAnsi="宋体" w:cs="宋体"/>
                <w:bCs w:val="0"/>
                <w:color w:val="auto"/>
                <w:sz w:val="21"/>
                <w:szCs w:val="21"/>
                <w:highlight w:val="none"/>
              </w:rPr>
            </w:pPr>
            <w:bookmarkStart w:id="9" w:name="_Toc20951"/>
            <w:r>
              <w:rPr>
                <w:rFonts w:hint="eastAsia" w:ascii="宋体" w:hAnsi="宋体" w:cs="宋体"/>
                <w:bCs w:val="0"/>
                <w:color w:val="auto"/>
                <w:sz w:val="21"/>
                <w:szCs w:val="21"/>
                <w:highlight w:val="none"/>
              </w:rPr>
              <w:t>投标函</w:t>
            </w:r>
            <w:bookmarkEnd w:id="9"/>
          </w:p>
          <w:p w14:paraId="31905F05">
            <w:pPr>
              <w:pageBreakBefore w:val="0"/>
              <w:widowControl/>
              <w:numPr>
                <w:ilvl w:val="0"/>
                <w:numId w:val="0"/>
              </w:numPr>
              <w:kinsoku/>
              <w:wordWrap/>
              <w:overflowPunct/>
              <w:topLinePunct w:val="0"/>
              <w:bidi w:val="0"/>
              <w:snapToGrid/>
              <w:spacing w:line="240" w:lineRule="auto"/>
              <w:jc w:val="both"/>
              <w:textAlignment w:val="auto"/>
              <w:rPr>
                <w:rFonts w:hint="default" w:ascii="宋体" w:hAnsi="宋体" w:eastAsia="宋体" w:cs="宋体"/>
                <w:b/>
                <w:bCs/>
                <w:color w:val="auto"/>
                <w:sz w:val="21"/>
                <w:szCs w:val="21"/>
                <w:vertAlign w:val="baseline"/>
                <w:lang w:val="en-US" w:eastAsia="zh-CN"/>
              </w:rPr>
            </w:pPr>
            <w:bookmarkStart w:id="10" w:name="_Toc7105"/>
            <w:bookmarkStart w:id="11" w:name="_Toc29851"/>
            <w:r>
              <w:rPr>
                <w:rFonts w:hint="eastAsia" w:ascii="宋体" w:hAnsi="宋体" w:cs="宋体"/>
                <w:b w:val="0"/>
                <w:color w:val="auto"/>
                <w:sz w:val="21"/>
                <w:szCs w:val="21"/>
                <w:highlight w:val="none"/>
              </w:rPr>
              <w:t>包括但不限于：①未按要求提供有效的投标函加盖公章的；②提供的投标函字迹模糊、无法辨认的。</w:t>
            </w:r>
            <w:bookmarkEnd w:id="10"/>
            <w:bookmarkEnd w:id="11"/>
          </w:p>
        </w:tc>
      </w:tr>
      <w:tr w14:paraId="4E6C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14:paraId="27F37925">
            <w:pPr>
              <w:pageBreakBefore w:val="0"/>
              <w:widowControl/>
              <w:numPr>
                <w:ilvl w:val="0"/>
                <w:numId w:val="0"/>
              </w:numPr>
              <w:kinsoku/>
              <w:wordWrap/>
              <w:overflowPunct/>
              <w:topLinePunct w:val="0"/>
              <w:bidi w:val="0"/>
              <w:snapToGrid/>
              <w:spacing w:line="480" w:lineRule="auto"/>
              <w:jc w:val="center"/>
              <w:textAlignment w:val="auto"/>
              <w:rPr>
                <w:rFonts w:hint="default" w:ascii="宋体" w:hAnsi="宋体" w:eastAsia="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2</w:t>
            </w:r>
          </w:p>
        </w:tc>
        <w:tc>
          <w:tcPr>
            <w:tcW w:w="8036" w:type="dxa"/>
          </w:tcPr>
          <w:p w14:paraId="5EA647E8">
            <w:pPr>
              <w:pStyle w:val="14"/>
              <w:spacing w:before="0" w:after="0" w:line="240" w:lineRule="auto"/>
              <w:jc w:val="both"/>
              <w:outlineLvl w:val="2"/>
              <w:rPr>
                <w:rFonts w:hint="eastAsia" w:ascii="宋体" w:hAnsi="宋体" w:cs="宋体"/>
                <w:bCs w:val="0"/>
                <w:color w:val="auto"/>
                <w:sz w:val="21"/>
                <w:szCs w:val="21"/>
                <w:highlight w:val="none"/>
              </w:rPr>
            </w:pPr>
            <w:bookmarkStart w:id="12" w:name="_Toc11265"/>
            <w:bookmarkStart w:id="13" w:name="_Toc32286"/>
            <w:r>
              <w:rPr>
                <w:rFonts w:hint="eastAsia" w:ascii="宋体" w:hAnsi="宋体" w:cs="宋体"/>
                <w:bCs w:val="0"/>
                <w:color w:val="auto"/>
                <w:sz w:val="21"/>
                <w:szCs w:val="21"/>
                <w:highlight w:val="none"/>
              </w:rPr>
              <w:t>交货期</w:t>
            </w:r>
            <w:bookmarkEnd w:id="12"/>
            <w:bookmarkEnd w:id="13"/>
          </w:p>
          <w:p w14:paraId="363FC13A">
            <w:pPr>
              <w:pageBreakBefore w:val="0"/>
              <w:widowControl/>
              <w:numPr>
                <w:ilvl w:val="0"/>
                <w:numId w:val="0"/>
              </w:numPr>
              <w:kinsoku/>
              <w:wordWrap/>
              <w:overflowPunct/>
              <w:topLinePunct w:val="0"/>
              <w:bidi w:val="0"/>
              <w:snapToGrid/>
              <w:spacing w:line="240" w:lineRule="auto"/>
              <w:jc w:val="both"/>
              <w:textAlignment w:val="auto"/>
              <w:rPr>
                <w:rFonts w:hint="default" w:ascii="宋体" w:hAnsi="宋体" w:eastAsia="宋体" w:cs="宋体"/>
                <w:b/>
                <w:bCs/>
                <w:color w:val="auto"/>
                <w:sz w:val="21"/>
                <w:szCs w:val="21"/>
                <w:vertAlign w:val="baseline"/>
                <w:lang w:val="en-US" w:eastAsia="zh-CN"/>
              </w:rPr>
            </w:pPr>
            <w:bookmarkStart w:id="14" w:name="_Toc19647"/>
            <w:bookmarkStart w:id="15" w:name="_Toc11068"/>
            <w:r>
              <w:rPr>
                <w:rFonts w:hint="eastAsia" w:ascii="宋体" w:hAnsi="宋体" w:cs="宋体"/>
                <w:b w:val="0"/>
                <w:color w:val="auto"/>
                <w:sz w:val="21"/>
                <w:szCs w:val="21"/>
                <w:highlight w:val="none"/>
              </w:rPr>
              <w:t>包括但不限于：①未按要求响应交货期的。</w:t>
            </w:r>
            <w:bookmarkEnd w:id="14"/>
            <w:bookmarkEnd w:id="15"/>
          </w:p>
        </w:tc>
      </w:tr>
      <w:tr w14:paraId="4FB4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14:paraId="01169C4B">
            <w:pPr>
              <w:pageBreakBefore w:val="0"/>
              <w:widowControl/>
              <w:numPr>
                <w:ilvl w:val="0"/>
                <w:numId w:val="0"/>
              </w:numPr>
              <w:kinsoku/>
              <w:wordWrap/>
              <w:overflowPunct/>
              <w:topLinePunct w:val="0"/>
              <w:bidi w:val="0"/>
              <w:snapToGrid/>
              <w:spacing w:line="480" w:lineRule="auto"/>
              <w:jc w:val="center"/>
              <w:textAlignment w:val="auto"/>
              <w:rPr>
                <w:rFonts w:hint="default" w:ascii="宋体" w:hAnsi="宋体" w:eastAsia="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3</w:t>
            </w:r>
          </w:p>
        </w:tc>
        <w:tc>
          <w:tcPr>
            <w:tcW w:w="8036" w:type="dxa"/>
          </w:tcPr>
          <w:p w14:paraId="70918345">
            <w:pPr>
              <w:pStyle w:val="14"/>
              <w:spacing w:before="0" w:after="0"/>
              <w:jc w:val="both"/>
              <w:outlineLvl w:val="2"/>
              <w:rPr>
                <w:rFonts w:hint="eastAsia" w:ascii="宋体" w:hAnsi="宋体" w:cs="宋体"/>
                <w:bCs w:val="0"/>
                <w:color w:val="auto"/>
                <w:sz w:val="21"/>
                <w:szCs w:val="21"/>
              </w:rPr>
            </w:pPr>
            <w:r>
              <w:rPr>
                <w:rFonts w:hint="eastAsia" w:ascii="宋体" w:hAnsi="宋体" w:cs="宋体"/>
                <w:bCs w:val="0"/>
                <w:color w:val="auto"/>
                <w:sz w:val="21"/>
                <w:szCs w:val="21"/>
              </w:rPr>
              <w:t>质保期</w:t>
            </w:r>
          </w:p>
          <w:p w14:paraId="0AE52C97">
            <w:pPr>
              <w:pageBreakBefore w:val="0"/>
              <w:widowControl/>
              <w:numPr>
                <w:ilvl w:val="0"/>
                <w:numId w:val="0"/>
              </w:numPr>
              <w:kinsoku/>
              <w:wordWrap/>
              <w:overflowPunct/>
              <w:topLinePunct w:val="0"/>
              <w:bidi w:val="0"/>
              <w:snapToGrid/>
              <w:spacing w:line="240" w:lineRule="auto"/>
              <w:jc w:val="both"/>
              <w:textAlignment w:val="auto"/>
              <w:rPr>
                <w:rFonts w:hint="default" w:ascii="宋体" w:hAnsi="宋体" w:eastAsia="宋体" w:cs="宋体"/>
                <w:b/>
                <w:bCs/>
                <w:color w:val="auto"/>
                <w:sz w:val="21"/>
                <w:szCs w:val="21"/>
                <w:vertAlign w:val="baseline"/>
                <w:lang w:val="en-US" w:eastAsia="zh-CN"/>
              </w:rPr>
            </w:pPr>
            <w:r>
              <w:rPr>
                <w:rFonts w:hint="eastAsia" w:ascii="宋体" w:hAnsi="宋体" w:cs="宋体"/>
                <w:color w:val="auto"/>
                <w:szCs w:val="21"/>
              </w:rPr>
              <w:t>包括但不限于：①未按要求响应质保期的。</w:t>
            </w:r>
          </w:p>
        </w:tc>
      </w:tr>
      <w:tr w14:paraId="744F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14:paraId="624CE2DF">
            <w:pPr>
              <w:pageBreakBefore w:val="0"/>
              <w:widowControl/>
              <w:numPr>
                <w:ilvl w:val="0"/>
                <w:numId w:val="0"/>
              </w:numPr>
              <w:kinsoku/>
              <w:wordWrap/>
              <w:overflowPunct/>
              <w:topLinePunct w:val="0"/>
              <w:bidi w:val="0"/>
              <w:snapToGrid/>
              <w:spacing w:line="720" w:lineRule="auto"/>
              <w:jc w:val="center"/>
              <w:textAlignment w:val="auto"/>
              <w:rPr>
                <w:rFonts w:hint="default" w:ascii="宋体" w:hAnsi="宋体" w:eastAsia="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4</w:t>
            </w:r>
          </w:p>
        </w:tc>
        <w:tc>
          <w:tcPr>
            <w:tcW w:w="8036" w:type="dxa"/>
          </w:tcPr>
          <w:p w14:paraId="47C0B1C6">
            <w:pPr>
              <w:pStyle w:val="14"/>
              <w:spacing w:before="0" w:after="0"/>
              <w:jc w:val="both"/>
              <w:outlineLvl w:val="2"/>
              <w:rPr>
                <w:rFonts w:hint="eastAsia" w:ascii="宋体" w:hAnsi="宋体" w:cs="宋体"/>
                <w:bCs w:val="0"/>
                <w:color w:val="auto"/>
                <w:sz w:val="21"/>
                <w:szCs w:val="21"/>
              </w:rPr>
            </w:pPr>
            <w:r>
              <w:rPr>
                <w:rFonts w:hint="eastAsia" w:ascii="宋体" w:hAnsi="宋体" w:cs="宋体"/>
                <w:bCs w:val="0"/>
                <w:color w:val="auto"/>
                <w:sz w:val="21"/>
                <w:szCs w:val="21"/>
              </w:rPr>
              <w:t>商务响应</w:t>
            </w:r>
          </w:p>
          <w:p w14:paraId="7F900E33">
            <w:pPr>
              <w:pageBreakBefore w:val="0"/>
              <w:widowControl/>
              <w:numPr>
                <w:ilvl w:val="0"/>
                <w:numId w:val="0"/>
              </w:numPr>
              <w:kinsoku/>
              <w:wordWrap/>
              <w:overflowPunct/>
              <w:topLinePunct w:val="0"/>
              <w:bidi w:val="0"/>
              <w:snapToGrid/>
              <w:spacing w:line="240" w:lineRule="auto"/>
              <w:jc w:val="both"/>
              <w:textAlignment w:val="auto"/>
              <w:rPr>
                <w:rFonts w:hint="default" w:ascii="宋体" w:hAnsi="宋体" w:eastAsia="宋体" w:cs="宋体"/>
                <w:b/>
                <w:bCs/>
                <w:color w:val="auto"/>
                <w:sz w:val="21"/>
                <w:szCs w:val="21"/>
                <w:vertAlign w:val="baseline"/>
                <w:lang w:val="en-US" w:eastAsia="zh-CN"/>
              </w:rPr>
            </w:pPr>
            <w:r>
              <w:rPr>
                <w:rFonts w:hint="eastAsia" w:ascii="宋体" w:hAnsi="宋体" w:cs="宋体"/>
                <w:b w:val="0"/>
                <w:color w:val="auto"/>
                <w:sz w:val="21"/>
                <w:szCs w:val="21"/>
              </w:rPr>
              <w:t>包括但不限于：①</w:t>
            </w:r>
            <w:r>
              <w:rPr>
                <w:rFonts w:hint="eastAsia" w:ascii="宋体" w:hAnsi="宋体" w:cs="宋体"/>
                <w:b w:val="0"/>
                <w:color w:val="auto"/>
                <w:sz w:val="21"/>
                <w:szCs w:val="21"/>
                <w:lang w:eastAsia="zh-CN"/>
              </w:rPr>
              <w:t>招标文件</w:t>
            </w:r>
            <w:r>
              <w:rPr>
                <w:rFonts w:hint="eastAsia" w:ascii="宋体" w:hAnsi="宋体" w:cs="宋体"/>
                <w:b w:val="0"/>
                <w:color w:val="auto"/>
                <w:sz w:val="21"/>
                <w:szCs w:val="21"/>
              </w:rPr>
              <w:t>加注星号（★）的商务要求负偏离的；②投标人低于成本报价竞标的；③投标（响应）文件附有招标人不能接受的条件的。</w:t>
            </w:r>
          </w:p>
        </w:tc>
      </w:tr>
      <w:tr w14:paraId="70D5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14:paraId="69C9B0D0">
            <w:pPr>
              <w:keepNext w:val="0"/>
              <w:keepLines w:val="0"/>
              <w:pageBreakBefore w:val="0"/>
              <w:widowControl/>
              <w:numPr>
                <w:ilvl w:val="0"/>
                <w:numId w:val="0"/>
              </w:numPr>
              <w:kinsoku/>
              <w:wordWrap/>
              <w:overflowPunct/>
              <w:topLinePunct w:val="0"/>
              <w:autoSpaceDE/>
              <w:autoSpaceDN/>
              <w:bidi w:val="0"/>
              <w:adjustRightInd/>
              <w:snapToGrid/>
              <w:spacing w:line="1200" w:lineRule="auto"/>
              <w:jc w:val="center"/>
              <w:textAlignment w:val="auto"/>
              <w:rPr>
                <w:rFonts w:hint="default" w:ascii="宋体" w:hAnsi="宋体" w:eastAsia="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5</w:t>
            </w:r>
          </w:p>
        </w:tc>
        <w:tc>
          <w:tcPr>
            <w:tcW w:w="8036" w:type="dxa"/>
          </w:tcPr>
          <w:p w14:paraId="5F49EC3D">
            <w:pPr>
              <w:pStyle w:val="14"/>
              <w:spacing w:before="0" w:after="0"/>
              <w:jc w:val="both"/>
              <w:outlineLvl w:val="2"/>
              <w:rPr>
                <w:rFonts w:hint="eastAsia" w:ascii="宋体" w:hAnsi="宋体" w:cs="宋体"/>
                <w:bCs w:val="0"/>
                <w:color w:val="auto"/>
                <w:sz w:val="21"/>
                <w:szCs w:val="21"/>
              </w:rPr>
            </w:pPr>
            <w:r>
              <w:rPr>
                <w:rFonts w:hint="eastAsia" w:ascii="宋体" w:hAnsi="宋体" w:cs="宋体"/>
                <w:bCs w:val="0"/>
                <w:color w:val="auto"/>
                <w:sz w:val="21"/>
                <w:szCs w:val="21"/>
              </w:rPr>
              <w:t>技术响应</w:t>
            </w:r>
          </w:p>
          <w:p w14:paraId="1FF72DDD">
            <w:pPr>
              <w:pageBreakBefore w:val="0"/>
              <w:widowControl/>
              <w:numPr>
                <w:ilvl w:val="0"/>
                <w:numId w:val="0"/>
              </w:numPr>
              <w:kinsoku/>
              <w:wordWrap/>
              <w:overflowPunct/>
              <w:topLinePunct w:val="0"/>
              <w:bidi w:val="0"/>
              <w:snapToGrid/>
              <w:spacing w:line="240" w:lineRule="auto"/>
              <w:jc w:val="both"/>
              <w:textAlignment w:val="auto"/>
              <w:rPr>
                <w:rFonts w:hint="default" w:ascii="宋体" w:hAnsi="宋体" w:eastAsia="宋体" w:cs="宋体"/>
                <w:b/>
                <w:bCs/>
                <w:color w:val="auto"/>
                <w:sz w:val="21"/>
                <w:szCs w:val="21"/>
                <w:vertAlign w:val="baseline"/>
                <w:lang w:val="en-US" w:eastAsia="zh-CN"/>
              </w:rPr>
            </w:pPr>
            <w:r>
              <w:rPr>
                <w:rFonts w:hint="eastAsia" w:ascii="宋体" w:hAnsi="宋体" w:cs="宋体"/>
                <w:b w:val="0"/>
                <w:color w:val="auto"/>
                <w:sz w:val="21"/>
                <w:szCs w:val="21"/>
              </w:rPr>
              <w:t>包括但不限于：①投标（响应）文件不满足</w:t>
            </w:r>
            <w:r>
              <w:rPr>
                <w:rFonts w:hint="eastAsia" w:ascii="宋体" w:hAnsi="宋体" w:cs="宋体"/>
                <w:b w:val="0"/>
                <w:color w:val="auto"/>
                <w:sz w:val="21"/>
                <w:szCs w:val="21"/>
                <w:lang w:eastAsia="zh-CN"/>
              </w:rPr>
              <w:t>招标文件</w:t>
            </w:r>
            <w:r>
              <w:rPr>
                <w:rFonts w:hint="eastAsia" w:ascii="宋体" w:hAnsi="宋体" w:cs="宋体"/>
                <w:b w:val="0"/>
                <w:color w:val="auto"/>
                <w:sz w:val="21"/>
                <w:szCs w:val="21"/>
              </w:rPr>
              <w:t>中加注星号（★）的主要参数要求；②一般参数超出允许偏离的最大范围或最高项数的；③投标（响应）文件技术响应与事实不符或虚假投标的；④将一个包中的内容拆开投标的；⑤投标人对同一货物或服务投标时，同时提供两套或两套以上的投标方案的。</w:t>
            </w:r>
          </w:p>
        </w:tc>
      </w:tr>
      <w:tr w14:paraId="3426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14:paraId="3AD64BF2">
            <w:pPr>
              <w:keepNext w:val="0"/>
              <w:keepLines w:val="0"/>
              <w:pageBreakBefore w:val="0"/>
              <w:widowControl/>
              <w:numPr>
                <w:ilvl w:val="0"/>
                <w:numId w:val="0"/>
              </w:numPr>
              <w:kinsoku/>
              <w:wordWrap/>
              <w:overflowPunct/>
              <w:topLinePunct w:val="0"/>
              <w:autoSpaceDE/>
              <w:autoSpaceDN/>
              <w:bidi w:val="0"/>
              <w:adjustRightInd/>
              <w:snapToGrid/>
              <w:spacing w:line="960" w:lineRule="auto"/>
              <w:jc w:val="center"/>
              <w:textAlignment w:val="auto"/>
              <w:rPr>
                <w:rFonts w:hint="default" w:ascii="宋体" w:hAnsi="宋体" w:eastAsia="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6</w:t>
            </w:r>
          </w:p>
        </w:tc>
        <w:tc>
          <w:tcPr>
            <w:tcW w:w="8036" w:type="dxa"/>
          </w:tcPr>
          <w:p w14:paraId="01E5FEC3">
            <w:pPr>
              <w:pStyle w:val="14"/>
              <w:spacing w:before="0" w:after="0" w:line="240" w:lineRule="auto"/>
              <w:jc w:val="both"/>
              <w:outlineLvl w:val="2"/>
              <w:rPr>
                <w:rFonts w:hint="eastAsia" w:ascii="宋体" w:hAnsi="宋体" w:cs="宋体"/>
                <w:color w:val="auto"/>
                <w:sz w:val="21"/>
                <w:szCs w:val="21"/>
              </w:rPr>
            </w:pPr>
            <w:r>
              <w:rPr>
                <w:rFonts w:hint="eastAsia" w:ascii="宋体" w:hAnsi="宋体" w:cs="宋体"/>
                <w:color w:val="auto"/>
                <w:sz w:val="21"/>
                <w:szCs w:val="21"/>
              </w:rPr>
              <w:t>投标（响应）文件的有效性、完整性</w:t>
            </w:r>
          </w:p>
          <w:p w14:paraId="2EBA2628">
            <w:pPr>
              <w:pageBreakBefore w:val="0"/>
              <w:widowControl/>
              <w:numPr>
                <w:ilvl w:val="0"/>
                <w:numId w:val="0"/>
              </w:numPr>
              <w:kinsoku/>
              <w:wordWrap/>
              <w:overflowPunct/>
              <w:topLinePunct w:val="0"/>
              <w:bidi w:val="0"/>
              <w:snapToGrid/>
              <w:spacing w:line="240" w:lineRule="auto"/>
              <w:jc w:val="both"/>
              <w:textAlignment w:val="auto"/>
              <w:rPr>
                <w:rFonts w:hint="default" w:ascii="宋体" w:hAnsi="宋体" w:eastAsia="宋体" w:cs="宋体"/>
                <w:b/>
                <w:bCs/>
                <w:color w:val="auto"/>
                <w:sz w:val="21"/>
                <w:szCs w:val="21"/>
                <w:vertAlign w:val="baseline"/>
                <w:lang w:val="en-US" w:eastAsia="zh-CN"/>
              </w:rPr>
            </w:pPr>
            <w:r>
              <w:rPr>
                <w:rFonts w:hint="eastAsia" w:ascii="宋体" w:hAnsi="宋体" w:cs="宋体"/>
                <w:b w:val="0"/>
                <w:bCs w:val="0"/>
                <w:color w:val="auto"/>
                <w:sz w:val="21"/>
                <w:szCs w:val="21"/>
              </w:rPr>
              <w:t>包括但不限于：①投标（响应）文件的数量不符合要求的；②投标（响应）文件的装订、签署、盖章不符合</w:t>
            </w:r>
            <w:r>
              <w:rPr>
                <w:rFonts w:hint="eastAsia" w:ascii="宋体" w:hAnsi="宋体" w:cs="宋体"/>
                <w:b w:val="0"/>
                <w:bCs w:val="0"/>
                <w:color w:val="auto"/>
                <w:sz w:val="21"/>
                <w:szCs w:val="21"/>
                <w:lang w:eastAsia="zh-CN"/>
              </w:rPr>
              <w:t>招标文件</w:t>
            </w:r>
            <w:r>
              <w:rPr>
                <w:rFonts w:hint="eastAsia" w:ascii="宋体" w:hAnsi="宋体" w:cs="宋体"/>
                <w:b w:val="0"/>
                <w:bCs w:val="0"/>
                <w:color w:val="auto"/>
                <w:sz w:val="21"/>
                <w:szCs w:val="21"/>
              </w:rPr>
              <w:t>要求的；③投标（响应）文件内容有严重缺漏项的；④投标报价有严重缺漏项的；⑤投标（响应）文件的关键内容字迹模糊、无法辨认的。</w:t>
            </w:r>
          </w:p>
        </w:tc>
      </w:tr>
      <w:tr w14:paraId="020D8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14:paraId="3B3FB9D9">
            <w:pPr>
              <w:keepNext w:val="0"/>
              <w:keepLines w:val="0"/>
              <w:pageBreakBefore w:val="0"/>
              <w:widowControl/>
              <w:numPr>
                <w:ilvl w:val="0"/>
                <w:numId w:val="0"/>
              </w:numPr>
              <w:kinsoku/>
              <w:wordWrap/>
              <w:overflowPunct/>
              <w:topLinePunct w:val="0"/>
              <w:autoSpaceDE/>
              <w:autoSpaceDN/>
              <w:bidi w:val="0"/>
              <w:adjustRightInd/>
              <w:snapToGrid/>
              <w:spacing w:line="960" w:lineRule="auto"/>
              <w:jc w:val="center"/>
              <w:textAlignment w:val="auto"/>
              <w:rPr>
                <w:rFonts w:hint="default" w:ascii="宋体" w:hAnsi="宋体" w:eastAsia="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7</w:t>
            </w:r>
          </w:p>
        </w:tc>
        <w:tc>
          <w:tcPr>
            <w:tcW w:w="8036" w:type="dxa"/>
          </w:tcPr>
          <w:p w14:paraId="6A273FA6">
            <w:pPr>
              <w:pStyle w:val="14"/>
              <w:spacing w:before="0" w:after="0"/>
              <w:jc w:val="left"/>
              <w:outlineLvl w:val="2"/>
              <w:rPr>
                <w:rFonts w:hint="eastAsia" w:ascii="宋体" w:hAnsi="宋体" w:cs="宋体"/>
                <w:bCs w:val="0"/>
                <w:color w:val="auto"/>
                <w:sz w:val="21"/>
                <w:szCs w:val="21"/>
              </w:rPr>
            </w:pPr>
            <w:r>
              <w:rPr>
                <w:rFonts w:hint="eastAsia" w:ascii="宋体" w:hAnsi="宋体" w:cs="宋体"/>
                <w:bCs w:val="0"/>
                <w:color w:val="auto"/>
                <w:sz w:val="21"/>
                <w:szCs w:val="21"/>
              </w:rPr>
              <w:t>投标报价是否合理</w:t>
            </w:r>
          </w:p>
          <w:p w14:paraId="1AF153EE">
            <w:pPr>
              <w:pageBreakBefore w:val="0"/>
              <w:widowControl/>
              <w:numPr>
                <w:ilvl w:val="0"/>
                <w:numId w:val="0"/>
              </w:numPr>
              <w:kinsoku/>
              <w:wordWrap/>
              <w:overflowPunct/>
              <w:topLinePunct w:val="0"/>
              <w:bidi w:val="0"/>
              <w:snapToGrid/>
              <w:spacing w:line="240" w:lineRule="auto"/>
              <w:jc w:val="both"/>
              <w:textAlignment w:val="auto"/>
              <w:rPr>
                <w:rFonts w:hint="default" w:ascii="宋体" w:hAnsi="宋体" w:eastAsia="宋体" w:cs="宋体"/>
                <w:b/>
                <w:bCs/>
                <w:color w:val="auto"/>
                <w:sz w:val="21"/>
                <w:szCs w:val="21"/>
                <w:vertAlign w:val="baseline"/>
                <w:lang w:val="en-US" w:eastAsia="zh-CN"/>
              </w:rPr>
            </w:pPr>
            <w:r>
              <w:rPr>
                <w:rFonts w:hint="eastAsia" w:ascii="宋体" w:hAnsi="宋体" w:cs="宋体"/>
                <w:b w:val="0"/>
                <w:color w:val="auto"/>
                <w:sz w:val="21"/>
                <w:szCs w:val="21"/>
              </w:rPr>
              <w:t>包括但不限于：①投标人不得以低于成本的报价竞标；②投标人的报价明显低于其他通过符合性审查的投标人报价，且不能在评标现场规定的时间内提供书面说明或提交相关证明材料的，有可能影响产品质量或服务质量或不能诚信履约的。</w:t>
            </w:r>
          </w:p>
        </w:tc>
      </w:tr>
      <w:tr w14:paraId="1E6D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14:paraId="1BF90526">
            <w:pPr>
              <w:pageBreakBefore w:val="0"/>
              <w:widowControl/>
              <w:numPr>
                <w:ilvl w:val="0"/>
                <w:numId w:val="0"/>
              </w:numPr>
              <w:kinsoku/>
              <w:wordWrap/>
              <w:overflowPunct/>
              <w:topLinePunct w:val="0"/>
              <w:bidi w:val="0"/>
              <w:snapToGrid/>
              <w:spacing w:line="720" w:lineRule="auto"/>
              <w:jc w:val="center"/>
              <w:textAlignment w:val="auto"/>
              <w:rPr>
                <w:rFonts w:hint="default" w:ascii="宋体" w:hAnsi="宋体" w:eastAsia="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8</w:t>
            </w:r>
          </w:p>
        </w:tc>
        <w:tc>
          <w:tcPr>
            <w:tcW w:w="8036" w:type="dxa"/>
          </w:tcPr>
          <w:p w14:paraId="2E57C0E9">
            <w:pPr>
              <w:pStyle w:val="14"/>
              <w:spacing w:before="0" w:after="0"/>
              <w:jc w:val="both"/>
              <w:outlineLvl w:val="2"/>
              <w:rPr>
                <w:rFonts w:ascii="宋体" w:hAnsi="宋体" w:cs="宋体"/>
                <w:bCs w:val="0"/>
                <w:color w:val="auto"/>
                <w:sz w:val="21"/>
                <w:szCs w:val="21"/>
              </w:rPr>
            </w:pPr>
            <w:r>
              <w:rPr>
                <w:rFonts w:hint="eastAsia" w:ascii="宋体" w:hAnsi="宋体" w:cs="宋体"/>
                <w:bCs w:val="0"/>
                <w:color w:val="auto"/>
                <w:sz w:val="21"/>
                <w:szCs w:val="21"/>
              </w:rPr>
              <w:t>投标（响应）文件</w:t>
            </w:r>
            <w:r>
              <w:rPr>
                <w:rFonts w:ascii="宋体" w:hAnsi="宋体" w:cs="宋体"/>
                <w:bCs w:val="0"/>
                <w:color w:val="auto"/>
                <w:sz w:val="21"/>
                <w:szCs w:val="21"/>
              </w:rPr>
              <w:t>真实性承诺函</w:t>
            </w:r>
          </w:p>
          <w:p w14:paraId="64DF5FAE">
            <w:pPr>
              <w:pageBreakBefore w:val="0"/>
              <w:widowControl/>
              <w:numPr>
                <w:ilvl w:val="0"/>
                <w:numId w:val="0"/>
              </w:numPr>
              <w:kinsoku/>
              <w:wordWrap/>
              <w:overflowPunct/>
              <w:topLinePunct w:val="0"/>
              <w:bidi w:val="0"/>
              <w:snapToGrid/>
              <w:spacing w:line="240" w:lineRule="auto"/>
              <w:jc w:val="both"/>
              <w:textAlignment w:val="auto"/>
              <w:rPr>
                <w:rFonts w:hint="default" w:ascii="宋体" w:hAnsi="宋体" w:eastAsia="宋体" w:cs="宋体"/>
                <w:b/>
                <w:bCs/>
                <w:color w:val="auto"/>
                <w:sz w:val="21"/>
                <w:szCs w:val="21"/>
                <w:vertAlign w:val="baseline"/>
                <w:lang w:val="en-US" w:eastAsia="zh-CN"/>
              </w:rPr>
            </w:pPr>
            <w:r>
              <w:rPr>
                <w:rFonts w:hint="eastAsia" w:ascii="宋体" w:hAnsi="宋体" w:cs="宋体"/>
                <w:color w:val="auto"/>
                <w:szCs w:val="21"/>
              </w:rPr>
              <w:t>包括但不限于：①未加盖公章、法定代表人（或授权代表）签字；②提供的承诺函字迹模糊、无法辨认的。</w:t>
            </w:r>
          </w:p>
        </w:tc>
      </w:tr>
      <w:tr w14:paraId="0A329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14:paraId="1D99962E">
            <w:pPr>
              <w:pageBreakBefore w:val="0"/>
              <w:widowControl/>
              <w:numPr>
                <w:ilvl w:val="0"/>
                <w:numId w:val="0"/>
              </w:numPr>
              <w:kinsoku/>
              <w:wordWrap/>
              <w:overflowPunct/>
              <w:topLinePunct w:val="0"/>
              <w:bidi w:val="0"/>
              <w:snapToGrid/>
              <w:spacing w:line="360" w:lineRule="auto"/>
              <w:jc w:val="center"/>
              <w:textAlignment w:val="auto"/>
              <w:rPr>
                <w:rFonts w:hint="default" w:ascii="宋体" w:hAnsi="宋体" w:eastAsia="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9</w:t>
            </w:r>
          </w:p>
        </w:tc>
        <w:tc>
          <w:tcPr>
            <w:tcW w:w="8036" w:type="dxa"/>
          </w:tcPr>
          <w:p w14:paraId="25F66FDE">
            <w:pPr>
              <w:pageBreakBefore w:val="0"/>
              <w:widowControl/>
              <w:numPr>
                <w:ilvl w:val="0"/>
                <w:numId w:val="0"/>
              </w:numPr>
              <w:kinsoku/>
              <w:wordWrap/>
              <w:overflowPunct/>
              <w:topLinePunct w:val="0"/>
              <w:bidi w:val="0"/>
              <w:snapToGrid/>
              <w:spacing w:line="360" w:lineRule="auto"/>
              <w:jc w:val="both"/>
              <w:textAlignment w:val="auto"/>
              <w:rPr>
                <w:rFonts w:hint="default" w:ascii="宋体" w:hAnsi="宋体" w:eastAsia="宋体" w:cs="宋体"/>
                <w:b/>
                <w:bCs/>
                <w:color w:val="auto"/>
                <w:sz w:val="21"/>
                <w:szCs w:val="21"/>
                <w:vertAlign w:val="baseline"/>
                <w:lang w:val="en-US" w:eastAsia="zh-CN"/>
              </w:rPr>
            </w:pPr>
            <w:bookmarkStart w:id="16" w:name="_Toc6230"/>
            <w:bookmarkStart w:id="17" w:name="_Toc30039"/>
            <w:r>
              <w:rPr>
                <w:rFonts w:hint="eastAsia" w:ascii="宋体" w:hAnsi="宋体" w:eastAsia="宋体" w:cs="宋体"/>
                <w:b/>
                <w:bCs w:val="0"/>
                <w:color w:val="auto"/>
                <w:sz w:val="21"/>
                <w:szCs w:val="21"/>
                <w:lang w:eastAsia="zh-CN"/>
              </w:rPr>
              <w:t>投标人所投产品是否符合财库〔2007〕119号《政府采购进口产品管理办法》的要求</w:t>
            </w:r>
            <w:bookmarkEnd w:id="16"/>
            <w:bookmarkEnd w:id="17"/>
          </w:p>
        </w:tc>
      </w:tr>
      <w:tr w14:paraId="5626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14:paraId="5D7CA566">
            <w:pPr>
              <w:pageBreakBefore w:val="0"/>
              <w:widowControl/>
              <w:numPr>
                <w:ilvl w:val="0"/>
                <w:numId w:val="0"/>
              </w:numPr>
              <w:kinsoku/>
              <w:wordWrap/>
              <w:overflowPunct/>
              <w:topLinePunct w:val="0"/>
              <w:bidi w:val="0"/>
              <w:snapToGrid/>
              <w:spacing w:line="360" w:lineRule="auto"/>
              <w:jc w:val="center"/>
              <w:textAlignment w:val="auto"/>
              <w:rPr>
                <w:rFonts w:hint="default" w:ascii="宋体" w:hAnsi="宋体" w:eastAsia="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10</w:t>
            </w:r>
          </w:p>
        </w:tc>
        <w:tc>
          <w:tcPr>
            <w:tcW w:w="8036" w:type="dxa"/>
          </w:tcPr>
          <w:p w14:paraId="6EF3F4DB">
            <w:pPr>
              <w:pageBreakBefore w:val="0"/>
              <w:widowControl/>
              <w:numPr>
                <w:ilvl w:val="0"/>
                <w:numId w:val="0"/>
              </w:numPr>
              <w:kinsoku/>
              <w:wordWrap/>
              <w:overflowPunct/>
              <w:topLinePunct w:val="0"/>
              <w:bidi w:val="0"/>
              <w:snapToGrid/>
              <w:spacing w:line="360" w:lineRule="auto"/>
              <w:jc w:val="both"/>
              <w:textAlignment w:val="auto"/>
              <w:rPr>
                <w:rFonts w:hint="default" w:ascii="宋体" w:hAnsi="宋体" w:eastAsia="宋体" w:cs="宋体"/>
                <w:b/>
                <w:bCs/>
                <w:color w:val="auto"/>
                <w:sz w:val="21"/>
                <w:szCs w:val="21"/>
                <w:vertAlign w:val="baseline"/>
                <w:lang w:val="en-US" w:eastAsia="zh-CN"/>
              </w:rPr>
            </w:pPr>
            <w:r>
              <w:rPr>
                <w:rFonts w:hint="eastAsia" w:ascii="宋体" w:hAnsi="宋体" w:cs="宋体"/>
                <w:b/>
                <w:bCs/>
                <w:color w:val="auto"/>
                <w:sz w:val="21"/>
                <w:szCs w:val="21"/>
              </w:rPr>
              <w:t>法律法规及</w:t>
            </w:r>
            <w:r>
              <w:rPr>
                <w:rFonts w:hint="eastAsia" w:ascii="宋体" w:hAnsi="宋体" w:cs="宋体"/>
                <w:b/>
                <w:bCs/>
                <w:color w:val="auto"/>
                <w:sz w:val="21"/>
                <w:szCs w:val="21"/>
                <w:lang w:eastAsia="zh-CN"/>
              </w:rPr>
              <w:t>招标文件</w:t>
            </w:r>
            <w:r>
              <w:rPr>
                <w:rFonts w:hint="eastAsia" w:ascii="宋体" w:hAnsi="宋体" w:cs="宋体"/>
                <w:b/>
                <w:bCs/>
                <w:color w:val="auto"/>
                <w:sz w:val="21"/>
                <w:szCs w:val="21"/>
              </w:rPr>
              <w:t>规定的其它情形</w:t>
            </w:r>
          </w:p>
        </w:tc>
      </w:tr>
    </w:tbl>
    <w:p w14:paraId="6A9AB450">
      <w:pPr>
        <w:pageBreakBefore w:val="0"/>
        <w:widowControl/>
        <w:numPr>
          <w:ilvl w:val="0"/>
          <w:numId w:val="0"/>
        </w:numPr>
        <w:kinsoku/>
        <w:wordWrap/>
        <w:overflowPunct/>
        <w:topLinePunct w:val="0"/>
        <w:bidi w:val="0"/>
        <w:snapToGrid/>
        <w:spacing w:line="360" w:lineRule="auto"/>
        <w:jc w:val="both"/>
        <w:textAlignment w:val="auto"/>
        <w:rPr>
          <w:rFonts w:hint="default" w:ascii="宋体" w:hAnsi="宋体" w:eastAsia="宋体" w:cs="宋体"/>
          <w:b/>
          <w:bCs/>
          <w:color w:val="auto"/>
          <w:sz w:val="28"/>
          <w:szCs w:val="28"/>
          <w:lang w:val="en-US" w:eastAsia="zh-CN"/>
        </w:rPr>
      </w:pPr>
    </w:p>
    <w:p w14:paraId="7E28DD7E">
      <w:pPr>
        <w:pageBreakBefore w:val="0"/>
        <w:widowControl/>
        <w:numPr>
          <w:ilvl w:val="0"/>
          <w:numId w:val="0"/>
        </w:numPr>
        <w:kinsoku/>
        <w:wordWrap/>
        <w:overflowPunct/>
        <w:topLinePunct w:val="0"/>
        <w:bidi w:val="0"/>
        <w:snapToGrid/>
        <w:spacing w:line="360" w:lineRule="auto"/>
        <w:ind w:leftChars="0"/>
        <w:jc w:val="both"/>
        <w:textAlignment w:val="auto"/>
        <w:rPr>
          <w:rFonts w:hint="default" w:ascii="宋体" w:hAnsi="宋体" w:cs="宋体"/>
          <w:b/>
          <w:bCs/>
          <w:color w:val="auto"/>
          <w:sz w:val="30"/>
          <w:szCs w:val="30"/>
          <w:lang w:val="en-US" w:eastAsia="zh-CN"/>
        </w:rPr>
      </w:pPr>
    </w:p>
    <w:p w14:paraId="103BAEA7">
      <w:pPr>
        <w:pageBreakBefore w:val="0"/>
        <w:widowControl/>
        <w:numPr>
          <w:ilvl w:val="0"/>
          <w:numId w:val="0"/>
        </w:numPr>
        <w:kinsoku/>
        <w:wordWrap/>
        <w:overflowPunct/>
        <w:topLinePunct w:val="0"/>
        <w:bidi w:val="0"/>
        <w:snapToGrid/>
        <w:spacing w:line="360" w:lineRule="auto"/>
        <w:ind w:leftChars="0"/>
        <w:jc w:val="both"/>
        <w:textAlignment w:val="auto"/>
        <w:rPr>
          <w:rFonts w:hint="default" w:ascii="宋体" w:hAnsi="宋体" w:cs="宋体"/>
          <w:b/>
          <w:bCs/>
          <w:color w:val="auto"/>
          <w:sz w:val="30"/>
          <w:szCs w:val="30"/>
          <w:lang w:val="en-US" w:eastAsia="zh-CN"/>
        </w:rPr>
      </w:pPr>
    </w:p>
    <w:p w14:paraId="50C05F59">
      <w:pPr>
        <w:pageBreakBefore w:val="0"/>
        <w:widowControl/>
        <w:numPr>
          <w:ilvl w:val="0"/>
          <w:numId w:val="0"/>
        </w:numPr>
        <w:kinsoku/>
        <w:wordWrap/>
        <w:overflowPunct/>
        <w:topLinePunct w:val="0"/>
        <w:bidi w:val="0"/>
        <w:snapToGrid/>
        <w:spacing w:line="360" w:lineRule="auto"/>
        <w:ind w:leftChars="0"/>
        <w:jc w:val="both"/>
        <w:textAlignment w:val="auto"/>
        <w:rPr>
          <w:rFonts w:hint="default" w:ascii="宋体" w:hAnsi="宋体" w:cs="宋体"/>
          <w:b/>
          <w:bCs/>
          <w:color w:val="auto"/>
          <w:sz w:val="30"/>
          <w:szCs w:val="30"/>
          <w:lang w:val="en-US" w:eastAsia="zh-CN"/>
        </w:rPr>
      </w:pPr>
    </w:p>
    <w:p w14:paraId="53C9AC45">
      <w:pPr>
        <w:pageBreakBefore w:val="0"/>
        <w:widowControl/>
        <w:numPr>
          <w:ilvl w:val="0"/>
          <w:numId w:val="0"/>
        </w:numPr>
        <w:kinsoku/>
        <w:wordWrap/>
        <w:overflowPunct/>
        <w:topLinePunct w:val="0"/>
        <w:bidi w:val="0"/>
        <w:snapToGrid/>
        <w:spacing w:line="360" w:lineRule="auto"/>
        <w:ind w:leftChars="0"/>
        <w:jc w:val="both"/>
        <w:textAlignment w:val="auto"/>
        <w:rPr>
          <w:rFonts w:hint="default" w:ascii="宋体" w:hAnsi="宋体" w:cs="宋体"/>
          <w:b/>
          <w:bCs/>
          <w:color w:val="auto"/>
          <w:sz w:val="30"/>
          <w:szCs w:val="30"/>
          <w:lang w:val="en-US" w:eastAsia="zh-CN"/>
        </w:rPr>
      </w:pPr>
    </w:p>
    <w:p w14:paraId="15421B05">
      <w:pPr>
        <w:pageBreakBefore w:val="0"/>
        <w:widowControl/>
        <w:numPr>
          <w:ilvl w:val="0"/>
          <w:numId w:val="0"/>
        </w:numPr>
        <w:kinsoku/>
        <w:wordWrap/>
        <w:overflowPunct/>
        <w:topLinePunct w:val="0"/>
        <w:bidi w:val="0"/>
        <w:snapToGrid/>
        <w:spacing w:line="360" w:lineRule="auto"/>
        <w:ind w:leftChars="0"/>
        <w:jc w:val="both"/>
        <w:textAlignment w:val="auto"/>
        <w:rPr>
          <w:rFonts w:hint="default" w:ascii="宋体" w:hAnsi="宋体" w:cs="宋体"/>
          <w:b/>
          <w:bCs/>
          <w:color w:val="auto"/>
          <w:sz w:val="30"/>
          <w:szCs w:val="30"/>
          <w:lang w:val="en-US" w:eastAsia="zh-CN"/>
        </w:rPr>
      </w:pPr>
    </w:p>
    <w:p w14:paraId="25271C61">
      <w:pPr>
        <w:pageBreakBefore w:val="0"/>
        <w:widowControl/>
        <w:numPr>
          <w:ilvl w:val="0"/>
          <w:numId w:val="0"/>
        </w:numPr>
        <w:kinsoku/>
        <w:wordWrap/>
        <w:overflowPunct/>
        <w:topLinePunct w:val="0"/>
        <w:bidi w:val="0"/>
        <w:snapToGrid/>
        <w:spacing w:line="360" w:lineRule="auto"/>
        <w:ind w:leftChars="0"/>
        <w:jc w:val="both"/>
        <w:textAlignment w:val="auto"/>
        <w:rPr>
          <w:rFonts w:hint="default" w:ascii="宋体" w:hAnsi="宋体" w:cs="宋体"/>
          <w:b/>
          <w:bCs/>
          <w:color w:val="auto"/>
          <w:sz w:val="30"/>
          <w:szCs w:val="30"/>
          <w:lang w:val="en-US" w:eastAsia="zh-CN"/>
        </w:rPr>
      </w:pPr>
    </w:p>
    <w:p w14:paraId="702D0D7C">
      <w:pPr>
        <w:pageBreakBefore w:val="0"/>
        <w:widowControl/>
        <w:numPr>
          <w:ilvl w:val="0"/>
          <w:numId w:val="0"/>
        </w:numPr>
        <w:kinsoku/>
        <w:wordWrap/>
        <w:overflowPunct/>
        <w:topLinePunct w:val="0"/>
        <w:bidi w:val="0"/>
        <w:snapToGrid/>
        <w:spacing w:line="360" w:lineRule="auto"/>
        <w:ind w:leftChars="0"/>
        <w:jc w:val="both"/>
        <w:textAlignment w:val="auto"/>
        <w:rPr>
          <w:rFonts w:hint="default" w:ascii="宋体" w:hAnsi="宋体" w:cs="宋体"/>
          <w:b/>
          <w:bCs/>
          <w:color w:val="auto"/>
          <w:sz w:val="30"/>
          <w:szCs w:val="30"/>
          <w:lang w:val="en-US" w:eastAsia="zh-CN"/>
        </w:rPr>
      </w:pPr>
    </w:p>
    <w:p w14:paraId="5EA67FE3">
      <w:pPr>
        <w:pageBreakBefore w:val="0"/>
        <w:widowControl/>
        <w:numPr>
          <w:ilvl w:val="0"/>
          <w:numId w:val="0"/>
        </w:numPr>
        <w:kinsoku/>
        <w:wordWrap/>
        <w:overflowPunct/>
        <w:topLinePunct w:val="0"/>
        <w:bidi w:val="0"/>
        <w:snapToGrid/>
        <w:spacing w:line="360" w:lineRule="auto"/>
        <w:jc w:val="center"/>
        <w:textAlignment w:val="auto"/>
        <w:rPr>
          <w:rFonts w:hint="eastAsia" w:ascii="宋体" w:hAnsi="宋体" w:eastAsia="宋体" w:cs="宋体"/>
          <w:b/>
          <w:bCs/>
          <w:color w:val="auto"/>
          <w:sz w:val="32"/>
          <w:szCs w:val="32"/>
          <w:lang w:val="en-US" w:eastAsia="zh-CN"/>
        </w:rPr>
      </w:pPr>
    </w:p>
    <w:p w14:paraId="2B883753">
      <w:pPr>
        <w:pageBreakBefore w:val="0"/>
        <w:widowControl/>
        <w:numPr>
          <w:ilvl w:val="0"/>
          <w:numId w:val="0"/>
        </w:numPr>
        <w:kinsoku/>
        <w:wordWrap/>
        <w:overflowPunct/>
        <w:topLinePunct w:val="0"/>
        <w:bidi w:val="0"/>
        <w:snapToGrid/>
        <w:spacing w:line="360" w:lineRule="auto"/>
        <w:jc w:val="center"/>
        <w:textAlignment w:val="auto"/>
        <w:rPr>
          <w:rFonts w:hint="eastAsia" w:ascii="宋体" w:hAnsi="宋体" w:eastAsia="宋体" w:cs="宋体"/>
          <w:b/>
          <w:bCs/>
          <w:color w:val="auto"/>
          <w:sz w:val="32"/>
          <w:szCs w:val="32"/>
          <w:lang w:val="en-US" w:eastAsia="zh-CN"/>
        </w:rPr>
      </w:pPr>
    </w:p>
    <w:p w14:paraId="76050C0F">
      <w:pPr>
        <w:pageBreakBefore w:val="0"/>
        <w:widowControl/>
        <w:numPr>
          <w:ilvl w:val="0"/>
          <w:numId w:val="8"/>
        </w:numPr>
        <w:kinsoku/>
        <w:wordWrap/>
        <w:overflowPunct/>
        <w:topLinePunct w:val="0"/>
        <w:bidi w:val="0"/>
        <w:snapToGrid/>
        <w:spacing w:line="360" w:lineRule="auto"/>
        <w:ind w:left="0" w:leftChars="0" w:firstLine="0" w:firstLineChars="0"/>
        <w:jc w:val="center"/>
        <w:textAlignment w:val="auto"/>
        <w:rPr>
          <w:rFonts w:hint="eastAsia" w:ascii="宋体" w:hAnsi="宋体" w:cs="宋体"/>
          <w:b/>
          <w:bCs/>
          <w:color w:val="auto"/>
          <w:sz w:val="30"/>
          <w:szCs w:val="30"/>
          <w:lang w:val="en-US" w:eastAsia="zh-CN"/>
        </w:rPr>
      </w:pPr>
      <w:r>
        <w:rPr>
          <w:rFonts w:hint="eastAsia" w:ascii="宋体" w:hAnsi="宋体" w:cs="宋体"/>
          <w:b/>
          <w:bCs/>
          <w:color w:val="auto"/>
          <w:sz w:val="30"/>
          <w:szCs w:val="30"/>
          <w:lang w:val="en-US" w:eastAsia="zh-CN"/>
        </w:rPr>
        <w:t>评标信息</w:t>
      </w:r>
    </w:p>
    <w:tbl>
      <w:tblPr>
        <w:tblStyle w:val="16"/>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738"/>
        <w:gridCol w:w="1898"/>
        <w:gridCol w:w="669"/>
        <w:gridCol w:w="1220"/>
        <w:gridCol w:w="3897"/>
      </w:tblGrid>
      <w:tr w14:paraId="347D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Pr>
          <w:p w14:paraId="2DBC6483">
            <w:pPr>
              <w:pageBreakBefore w:val="0"/>
              <w:widowControl/>
              <w:numPr>
                <w:ilvl w:val="0"/>
                <w:numId w:val="0"/>
              </w:numPr>
              <w:kinsoku/>
              <w:wordWrap/>
              <w:overflowPunct/>
              <w:topLinePunct w:val="0"/>
              <w:bidi w:val="0"/>
              <w:snapToGrid/>
              <w:spacing w:line="360" w:lineRule="auto"/>
              <w:jc w:val="center"/>
              <w:textAlignment w:val="auto"/>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1</w:t>
            </w:r>
          </w:p>
        </w:tc>
        <w:tc>
          <w:tcPr>
            <w:tcW w:w="4525" w:type="dxa"/>
            <w:gridSpan w:val="4"/>
          </w:tcPr>
          <w:p w14:paraId="15D12D0F">
            <w:pPr>
              <w:pageBreakBefore w:val="0"/>
              <w:widowControl/>
              <w:numPr>
                <w:ilvl w:val="0"/>
                <w:numId w:val="0"/>
              </w:numPr>
              <w:kinsoku/>
              <w:wordWrap/>
              <w:overflowPunct/>
              <w:topLinePunct w:val="0"/>
              <w:bidi w:val="0"/>
              <w:snapToGrid/>
              <w:spacing w:line="360" w:lineRule="auto"/>
              <w:jc w:val="center"/>
              <w:textAlignment w:val="auto"/>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价格部分</w:t>
            </w:r>
          </w:p>
        </w:tc>
        <w:tc>
          <w:tcPr>
            <w:tcW w:w="3897" w:type="dxa"/>
          </w:tcPr>
          <w:p w14:paraId="2D8E921A">
            <w:pPr>
              <w:pageBreakBefore w:val="0"/>
              <w:widowControl/>
              <w:numPr>
                <w:ilvl w:val="0"/>
                <w:numId w:val="0"/>
              </w:numPr>
              <w:kinsoku/>
              <w:wordWrap/>
              <w:overflowPunct/>
              <w:topLinePunct w:val="0"/>
              <w:bidi w:val="0"/>
              <w:snapToGrid/>
              <w:spacing w:line="360" w:lineRule="auto"/>
              <w:jc w:val="center"/>
              <w:textAlignment w:val="auto"/>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30</w:t>
            </w:r>
          </w:p>
        </w:tc>
      </w:tr>
      <w:tr w14:paraId="6AA5D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Pr>
          <w:p w14:paraId="568026FF">
            <w:pPr>
              <w:pageBreakBefore w:val="0"/>
              <w:widowControl/>
              <w:numPr>
                <w:ilvl w:val="0"/>
                <w:numId w:val="0"/>
              </w:numPr>
              <w:kinsoku/>
              <w:wordWrap/>
              <w:overflowPunct/>
              <w:topLinePunct w:val="0"/>
              <w:bidi w:val="0"/>
              <w:snapToGrid/>
              <w:spacing w:line="360" w:lineRule="auto"/>
              <w:jc w:val="both"/>
              <w:textAlignment w:val="auto"/>
              <w:rPr>
                <w:rFonts w:hint="eastAsia" w:ascii="宋体" w:hAnsi="宋体" w:cs="宋体"/>
                <w:b/>
                <w:bCs/>
                <w:color w:val="auto"/>
                <w:sz w:val="24"/>
                <w:szCs w:val="24"/>
                <w:vertAlign w:val="baseline"/>
                <w:lang w:val="en-US" w:eastAsia="zh-CN"/>
              </w:rPr>
            </w:pPr>
          </w:p>
        </w:tc>
        <w:tc>
          <w:tcPr>
            <w:tcW w:w="8422" w:type="dxa"/>
            <w:gridSpan w:val="5"/>
          </w:tcPr>
          <w:p w14:paraId="3985D788">
            <w:pPr>
              <w:spacing w:line="24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参照财政部令（2017）87号文件等的规定，评标价是指即满足招标文件要求且投标价格最低的投标报价为基准价，其价格分为满分，计算方法为：</w:t>
            </w:r>
          </w:p>
          <w:p w14:paraId="59E175E5">
            <w:pPr>
              <w:spacing w:line="24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 xml:space="preserve">投标报价得分=(评标基准价/有效投标报价)×价格分权值。 </w:t>
            </w:r>
          </w:p>
          <w:p w14:paraId="2E3400E1">
            <w:pPr>
              <w:spacing w:line="24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w:t>
            </w:r>
          </w:p>
          <w:p w14:paraId="7B4EDE30">
            <w:pPr>
              <w:spacing w:line="24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1.评标价是指按照招标文件的要求通过商务和技术初步审核并调整后的最终价格。</w:t>
            </w:r>
          </w:p>
          <w:p w14:paraId="75E34235">
            <w:pPr>
              <w:spacing w:line="24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2.价格评分仅限于有效投标人，当价格分&lt;0时，取0。</w:t>
            </w:r>
          </w:p>
          <w:p w14:paraId="493D53EB">
            <w:pPr>
              <w:spacing w:line="24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3.工信部联企业【2011】300号要求或财库〔2020〕46号或财库〔2017〕141号文件要求的投标人价格给予10%的扣除，用扣除后的价格参与评审。</w:t>
            </w:r>
          </w:p>
          <w:p w14:paraId="63FBF735">
            <w:pPr>
              <w:spacing w:line="24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3.1如符合工信部联企业【2011】300号要求的投标人应提供《中小企业声明函》，否则不予扣除。</w:t>
            </w:r>
          </w:p>
          <w:p w14:paraId="33ECD737">
            <w:pPr>
              <w:spacing w:line="24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3.2如符合财库〔2017〕141号文件要求的投标人应提供《残疾人福利性单位声明函》原件加盖投标人公章，否则不予扣除。 </w:t>
            </w:r>
          </w:p>
          <w:p w14:paraId="23BFEEDF">
            <w:pPr>
              <w:spacing w:line="24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如符合国发[2003]7号和财库[2014]68号要求的监狱企业应当提供《监狱企业声明函》及由省级以上监狱管理局、戒毒管理局（含新疆生产建设兵团）出具的属于监狱企业的证明文件复印件加盖投标人法人公章，否则不予扣除。</w:t>
            </w:r>
          </w:p>
          <w:p w14:paraId="58DC4431">
            <w:pPr>
              <w:pageBreakBefore w:val="0"/>
              <w:widowControl/>
              <w:numPr>
                <w:ilvl w:val="0"/>
                <w:numId w:val="0"/>
              </w:numPr>
              <w:kinsoku/>
              <w:wordWrap/>
              <w:overflowPunct/>
              <w:topLinePunct w:val="0"/>
              <w:bidi w:val="0"/>
              <w:snapToGrid/>
              <w:spacing w:line="240" w:lineRule="auto"/>
              <w:jc w:val="both"/>
              <w:textAlignment w:val="auto"/>
              <w:rPr>
                <w:rFonts w:hint="eastAsia" w:ascii="宋体" w:hAnsi="宋体" w:cs="宋体"/>
                <w:b/>
                <w:bCs/>
                <w:color w:val="auto"/>
                <w:sz w:val="24"/>
                <w:szCs w:val="24"/>
                <w:vertAlign w:val="baseline"/>
                <w:lang w:val="en-US" w:eastAsia="zh-CN"/>
              </w:rPr>
            </w:pPr>
            <w:r>
              <w:rPr>
                <w:rFonts w:hint="eastAsia" w:ascii="宋体" w:hAnsi="宋体" w:cs="宋体"/>
                <w:color w:val="000000" w:themeColor="text1"/>
                <w:szCs w:val="21"/>
                <w:highlight w:val="none"/>
                <w14:textFill>
                  <w14:solidFill>
                    <w14:schemeClr w14:val="tx1"/>
                  </w14:solidFill>
                </w14:textFill>
              </w:rPr>
              <w:t>3.4接受大中型企业与小微企业组成联合体或者允许大中型企业向一家或者多家小微企业分包的采购项目，对于联合协议或者分包意向协议约定小微企业的合同份额占到合同总金额30%以上的，采购人应当对联合体或者大中型企业的报价给予4%（工程项目为3%）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仅适用于接受联合体投标的项目）</w:t>
            </w:r>
            <w:r>
              <w:rPr>
                <w:rFonts w:hint="eastAsia" w:ascii="宋体" w:hAnsi="宋体" w:cs="宋体"/>
                <w:bCs/>
                <w:color w:val="000000" w:themeColor="text1"/>
                <w:szCs w:val="21"/>
                <w:highlight w:val="none"/>
                <w14:textFill>
                  <w14:solidFill>
                    <w14:schemeClr w14:val="tx1"/>
                  </w14:solidFill>
                </w14:textFill>
              </w:rPr>
              <w:t>。</w:t>
            </w:r>
          </w:p>
        </w:tc>
      </w:tr>
      <w:tr w14:paraId="0F0D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Pr>
          <w:p w14:paraId="34947C1A">
            <w:pPr>
              <w:pageBreakBefore w:val="0"/>
              <w:widowControl/>
              <w:numPr>
                <w:ilvl w:val="0"/>
                <w:numId w:val="0"/>
              </w:numPr>
              <w:kinsoku/>
              <w:wordWrap/>
              <w:overflowPunct/>
              <w:topLinePunct w:val="0"/>
              <w:bidi w:val="0"/>
              <w:snapToGrid/>
              <w:spacing w:line="360" w:lineRule="auto"/>
              <w:jc w:val="center"/>
              <w:textAlignment w:val="auto"/>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2</w:t>
            </w:r>
          </w:p>
        </w:tc>
        <w:tc>
          <w:tcPr>
            <w:tcW w:w="4525" w:type="dxa"/>
            <w:gridSpan w:val="4"/>
          </w:tcPr>
          <w:p w14:paraId="452EA7DF">
            <w:pPr>
              <w:pageBreakBefore w:val="0"/>
              <w:widowControl/>
              <w:numPr>
                <w:ilvl w:val="0"/>
                <w:numId w:val="0"/>
              </w:numPr>
              <w:kinsoku/>
              <w:wordWrap/>
              <w:overflowPunct/>
              <w:topLinePunct w:val="0"/>
              <w:bidi w:val="0"/>
              <w:snapToGrid/>
              <w:spacing w:line="360" w:lineRule="auto"/>
              <w:jc w:val="center"/>
              <w:textAlignment w:val="auto"/>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技术部分</w:t>
            </w:r>
          </w:p>
        </w:tc>
        <w:tc>
          <w:tcPr>
            <w:tcW w:w="3897" w:type="dxa"/>
          </w:tcPr>
          <w:p w14:paraId="5ECCB434">
            <w:pPr>
              <w:pageBreakBefore w:val="0"/>
              <w:widowControl/>
              <w:numPr>
                <w:ilvl w:val="0"/>
                <w:numId w:val="0"/>
              </w:numPr>
              <w:kinsoku/>
              <w:wordWrap/>
              <w:overflowPunct/>
              <w:topLinePunct w:val="0"/>
              <w:bidi w:val="0"/>
              <w:snapToGrid/>
              <w:spacing w:line="360" w:lineRule="auto"/>
              <w:jc w:val="center"/>
              <w:textAlignment w:val="auto"/>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56分</w:t>
            </w:r>
          </w:p>
        </w:tc>
      </w:tr>
      <w:tr w14:paraId="0D633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Pr>
          <w:p w14:paraId="41C5A90D">
            <w:pPr>
              <w:pageBreakBefore w:val="0"/>
              <w:widowControl/>
              <w:numPr>
                <w:ilvl w:val="0"/>
                <w:numId w:val="0"/>
              </w:numPr>
              <w:kinsoku/>
              <w:wordWrap/>
              <w:overflowPunct/>
              <w:topLinePunct w:val="0"/>
              <w:bidi w:val="0"/>
              <w:snapToGrid/>
              <w:spacing w:line="360" w:lineRule="auto"/>
              <w:jc w:val="both"/>
              <w:textAlignment w:val="auto"/>
              <w:rPr>
                <w:rFonts w:hint="eastAsia" w:ascii="宋体" w:hAnsi="宋体" w:cs="宋体"/>
                <w:b/>
                <w:bCs/>
                <w:color w:val="auto"/>
                <w:sz w:val="24"/>
                <w:szCs w:val="24"/>
                <w:vertAlign w:val="baseline"/>
                <w:lang w:val="en-US" w:eastAsia="zh-CN"/>
              </w:rPr>
            </w:pPr>
          </w:p>
        </w:tc>
        <w:tc>
          <w:tcPr>
            <w:tcW w:w="738" w:type="dxa"/>
          </w:tcPr>
          <w:p w14:paraId="55EAA94B">
            <w:pPr>
              <w:pageBreakBefore w:val="0"/>
              <w:widowControl/>
              <w:numPr>
                <w:ilvl w:val="0"/>
                <w:numId w:val="0"/>
              </w:numPr>
              <w:kinsoku/>
              <w:wordWrap/>
              <w:overflowPunct/>
              <w:topLinePunct w:val="0"/>
              <w:bidi w:val="0"/>
              <w:snapToGrid/>
              <w:spacing w:line="360" w:lineRule="auto"/>
              <w:jc w:val="center"/>
              <w:textAlignment w:val="auto"/>
              <w:rPr>
                <w:rFonts w:hint="default" w:ascii="宋体" w:hAnsi="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序号</w:t>
            </w:r>
          </w:p>
        </w:tc>
        <w:tc>
          <w:tcPr>
            <w:tcW w:w="1898" w:type="dxa"/>
          </w:tcPr>
          <w:p w14:paraId="5193FF98">
            <w:pPr>
              <w:pageBreakBefore w:val="0"/>
              <w:widowControl/>
              <w:numPr>
                <w:ilvl w:val="0"/>
                <w:numId w:val="0"/>
              </w:numPr>
              <w:kinsoku/>
              <w:wordWrap/>
              <w:overflowPunct/>
              <w:topLinePunct w:val="0"/>
              <w:bidi w:val="0"/>
              <w:snapToGrid/>
              <w:spacing w:line="360" w:lineRule="auto"/>
              <w:jc w:val="center"/>
              <w:textAlignment w:val="auto"/>
              <w:rPr>
                <w:rFonts w:hint="default" w:ascii="宋体" w:hAnsi="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评分因素</w:t>
            </w:r>
          </w:p>
        </w:tc>
        <w:tc>
          <w:tcPr>
            <w:tcW w:w="669" w:type="dxa"/>
          </w:tcPr>
          <w:p w14:paraId="357C2D8C">
            <w:pPr>
              <w:pageBreakBefore w:val="0"/>
              <w:widowControl/>
              <w:numPr>
                <w:ilvl w:val="0"/>
                <w:numId w:val="0"/>
              </w:numPr>
              <w:kinsoku/>
              <w:wordWrap/>
              <w:overflowPunct/>
              <w:topLinePunct w:val="0"/>
              <w:bidi w:val="0"/>
              <w:snapToGrid/>
              <w:spacing w:line="360" w:lineRule="auto"/>
              <w:jc w:val="center"/>
              <w:textAlignment w:val="auto"/>
              <w:rPr>
                <w:rFonts w:hint="default" w:ascii="宋体" w:hAnsi="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权重</w:t>
            </w:r>
          </w:p>
        </w:tc>
        <w:tc>
          <w:tcPr>
            <w:tcW w:w="1220" w:type="dxa"/>
          </w:tcPr>
          <w:p w14:paraId="6DC49DAC">
            <w:pPr>
              <w:pageBreakBefore w:val="0"/>
              <w:widowControl/>
              <w:numPr>
                <w:ilvl w:val="0"/>
                <w:numId w:val="0"/>
              </w:numPr>
              <w:kinsoku/>
              <w:wordWrap/>
              <w:overflowPunct/>
              <w:topLinePunct w:val="0"/>
              <w:bidi w:val="0"/>
              <w:snapToGrid/>
              <w:spacing w:line="360" w:lineRule="auto"/>
              <w:jc w:val="center"/>
              <w:textAlignment w:val="auto"/>
              <w:rPr>
                <w:rFonts w:hint="default" w:ascii="宋体" w:hAnsi="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评分方式</w:t>
            </w:r>
          </w:p>
        </w:tc>
        <w:tc>
          <w:tcPr>
            <w:tcW w:w="3897" w:type="dxa"/>
          </w:tcPr>
          <w:p w14:paraId="3E831B21">
            <w:pPr>
              <w:pageBreakBefore w:val="0"/>
              <w:widowControl/>
              <w:numPr>
                <w:ilvl w:val="0"/>
                <w:numId w:val="0"/>
              </w:numPr>
              <w:kinsoku/>
              <w:wordWrap/>
              <w:overflowPunct/>
              <w:topLinePunct w:val="0"/>
              <w:bidi w:val="0"/>
              <w:snapToGrid/>
              <w:spacing w:line="360" w:lineRule="auto"/>
              <w:jc w:val="center"/>
              <w:textAlignment w:val="auto"/>
              <w:rPr>
                <w:rFonts w:hint="default" w:ascii="宋体" w:hAnsi="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评分准则</w:t>
            </w:r>
          </w:p>
        </w:tc>
      </w:tr>
      <w:tr w14:paraId="7E736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Pr>
          <w:p w14:paraId="2C266BF9">
            <w:pPr>
              <w:pageBreakBefore w:val="0"/>
              <w:widowControl/>
              <w:numPr>
                <w:ilvl w:val="0"/>
                <w:numId w:val="0"/>
              </w:numPr>
              <w:kinsoku/>
              <w:wordWrap/>
              <w:overflowPunct/>
              <w:topLinePunct w:val="0"/>
              <w:bidi w:val="0"/>
              <w:snapToGrid/>
              <w:spacing w:line="360" w:lineRule="auto"/>
              <w:jc w:val="both"/>
              <w:textAlignment w:val="auto"/>
              <w:rPr>
                <w:rFonts w:hint="eastAsia" w:ascii="宋体" w:hAnsi="宋体" w:cs="宋体"/>
                <w:b/>
                <w:bCs/>
                <w:color w:val="auto"/>
                <w:sz w:val="24"/>
                <w:szCs w:val="24"/>
                <w:vertAlign w:val="baseline"/>
                <w:lang w:val="en-US" w:eastAsia="zh-CN"/>
              </w:rPr>
            </w:pPr>
          </w:p>
        </w:tc>
        <w:tc>
          <w:tcPr>
            <w:tcW w:w="738" w:type="dxa"/>
          </w:tcPr>
          <w:p w14:paraId="37906EFC">
            <w:pPr>
              <w:keepNext w:val="0"/>
              <w:keepLines w:val="0"/>
              <w:pageBreakBefore w:val="0"/>
              <w:widowControl/>
              <w:numPr>
                <w:ilvl w:val="0"/>
                <w:numId w:val="0"/>
              </w:numPr>
              <w:kinsoku/>
              <w:wordWrap/>
              <w:overflowPunct/>
              <w:topLinePunct w:val="0"/>
              <w:autoSpaceDE/>
              <w:autoSpaceDN/>
              <w:bidi w:val="0"/>
              <w:adjustRightInd/>
              <w:snapToGrid/>
              <w:spacing w:line="3600" w:lineRule="auto"/>
              <w:jc w:val="center"/>
              <w:textAlignment w:val="auto"/>
              <w:rPr>
                <w:rFonts w:hint="default" w:ascii="宋体" w:hAnsi="宋体" w:cs="宋体"/>
                <w:b/>
                <w:bCs/>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w:t>
            </w:r>
          </w:p>
        </w:tc>
        <w:tc>
          <w:tcPr>
            <w:tcW w:w="1898" w:type="dxa"/>
          </w:tcPr>
          <w:p w14:paraId="417C9188">
            <w:pPr>
              <w:keepNext w:val="0"/>
              <w:keepLines w:val="0"/>
              <w:pageBreakBefore w:val="0"/>
              <w:widowControl/>
              <w:numPr>
                <w:ilvl w:val="0"/>
                <w:numId w:val="0"/>
              </w:numPr>
              <w:kinsoku/>
              <w:wordWrap/>
              <w:overflowPunct/>
              <w:topLinePunct w:val="0"/>
              <w:autoSpaceDE/>
              <w:autoSpaceDN/>
              <w:bidi w:val="0"/>
              <w:adjustRightInd/>
              <w:snapToGrid/>
              <w:spacing w:line="3600" w:lineRule="auto"/>
              <w:jc w:val="center"/>
              <w:textAlignment w:val="auto"/>
              <w:rPr>
                <w:rFonts w:hint="default" w:ascii="宋体" w:hAnsi="宋体" w:cs="宋体"/>
                <w:b/>
                <w:bCs/>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技术条款偏离情况</w:t>
            </w:r>
          </w:p>
        </w:tc>
        <w:tc>
          <w:tcPr>
            <w:tcW w:w="669" w:type="dxa"/>
          </w:tcPr>
          <w:p w14:paraId="43A8D276">
            <w:pPr>
              <w:keepNext w:val="0"/>
              <w:keepLines w:val="0"/>
              <w:pageBreakBefore w:val="0"/>
              <w:widowControl/>
              <w:numPr>
                <w:ilvl w:val="0"/>
                <w:numId w:val="0"/>
              </w:numPr>
              <w:kinsoku/>
              <w:wordWrap/>
              <w:overflowPunct/>
              <w:topLinePunct w:val="0"/>
              <w:autoSpaceDE/>
              <w:autoSpaceDN/>
              <w:bidi w:val="0"/>
              <w:adjustRightInd/>
              <w:snapToGrid/>
              <w:spacing w:line="3600" w:lineRule="auto"/>
              <w:jc w:val="both"/>
              <w:textAlignment w:val="auto"/>
              <w:rPr>
                <w:rFonts w:hint="default" w:ascii="宋体" w:hAnsi="宋体" w:cs="宋体"/>
                <w:b/>
                <w:bCs/>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10</w:t>
            </w:r>
          </w:p>
        </w:tc>
        <w:tc>
          <w:tcPr>
            <w:tcW w:w="1220" w:type="dxa"/>
          </w:tcPr>
          <w:p w14:paraId="28072F80">
            <w:pPr>
              <w:keepNext w:val="0"/>
              <w:keepLines w:val="0"/>
              <w:pageBreakBefore w:val="0"/>
              <w:widowControl/>
              <w:numPr>
                <w:ilvl w:val="0"/>
                <w:numId w:val="0"/>
              </w:numPr>
              <w:kinsoku/>
              <w:wordWrap/>
              <w:overflowPunct/>
              <w:topLinePunct w:val="0"/>
              <w:autoSpaceDE/>
              <w:autoSpaceDN/>
              <w:bidi w:val="0"/>
              <w:adjustRightInd/>
              <w:snapToGrid/>
              <w:spacing w:line="3600" w:lineRule="auto"/>
              <w:jc w:val="center"/>
              <w:textAlignment w:val="auto"/>
              <w:rPr>
                <w:rFonts w:hint="default" w:ascii="宋体" w:hAnsi="宋体" w:cs="宋体"/>
                <w:b/>
                <w:bCs/>
                <w:color w:val="auto"/>
                <w:sz w:val="24"/>
                <w:szCs w:val="24"/>
                <w:vertAlign w:val="baseline"/>
                <w:lang w:val="en-US" w:eastAsia="zh-CN"/>
              </w:rPr>
            </w:pPr>
            <w:r>
              <w:rPr>
                <w:rFonts w:hint="eastAsia" w:ascii="宋体" w:hAnsi="宋体" w:cs="宋体"/>
                <w:b w:val="0"/>
                <w:bCs w:val="0"/>
                <w:color w:val="auto"/>
                <w:sz w:val="21"/>
                <w:szCs w:val="21"/>
                <w:vertAlign w:val="baseline"/>
                <w:lang w:val="en-US" w:eastAsia="zh-CN"/>
              </w:rPr>
              <w:t>专家打分</w:t>
            </w:r>
          </w:p>
        </w:tc>
        <w:tc>
          <w:tcPr>
            <w:tcW w:w="3897" w:type="dxa"/>
          </w:tcPr>
          <w:p w14:paraId="016C5DFA">
            <w:pPr>
              <w:jc w:val="lef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评审标准：</w:t>
            </w:r>
          </w:p>
          <w:p w14:paraId="2916F201">
            <w:pPr>
              <w:jc w:val="left"/>
              <w:rPr>
                <w:rFonts w:hint="default"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投标人应如实填写《技术</w:t>
            </w:r>
            <w:r>
              <w:rPr>
                <w:rFonts w:hint="eastAsia" w:ascii="宋体" w:hAnsi="宋体" w:cs="宋体"/>
                <w:color w:val="000000" w:themeColor="text1"/>
                <w:szCs w:val="21"/>
                <w:highlight w:val="none"/>
                <w:lang w:val="en-US" w:eastAsia="zh-CN"/>
                <w14:textFill>
                  <w14:solidFill>
                    <w14:schemeClr w14:val="tx1"/>
                  </w14:solidFill>
                </w14:textFill>
              </w:rPr>
              <w:t>规格</w:t>
            </w:r>
            <w:r>
              <w:rPr>
                <w:rFonts w:hint="eastAsia" w:ascii="宋体" w:hAnsi="宋体" w:cs="宋体"/>
                <w:color w:val="000000" w:themeColor="text1"/>
                <w:szCs w:val="21"/>
                <w:highlight w:val="none"/>
                <w14:textFill>
                  <w14:solidFill>
                    <w14:schemeClr w14:val="tx1"/>
                  </w14:solidFill>
                </w14:textFill>
              </w:rPr>
              <w:t>偏离表》，评审委员会根据技术需求参数响应情况进行打分，</w:t>
            </w:r>
            <w:r>
              <w:rPr>
                <w:rFonts w:hint="eastAsia" w:ascii="宋体" w:hAnsi="宋体" w:cs="宋体"/>
                <w:szCs w:val="21"/>
              </w:rPr>
              <w:t>各项技术参数指标及要求全部满足或优于的，得满分；带</w:t>
            </w:r>
            <w:r>
              <w:rPr>
                <w:rFonts w:hint="eastAsia" w:ascii="宋体" w:hAnsi="宋体" w:cs="宋体"/>
                <w:b/>
                <w:bCs/>
                <w:szCs w:val="21"/>
              </w:rPr>
              <w:t>★</w:t>
            </w:r>
            <w:r>
              <w:rPr>
                <w:rFonts w:hint="eastAsia" w:ascii="宋体" w:hAnsi="宋体" w:cs="宋体"/>
                <w:szCs w:val="21"/>
              </w:rPr>
              <w:t>的重要参数每负偏离（含不符合或者不满足、不响应）一项扣</w:t>
            </w:r>
            <w:r>
              <w:rPr>
                <w:rFonts w:hint="eastAsia" w:ascii="宋体" w:hAnsi="宋体" w:cs="宋体"/>
                <w:szCs w:val="21"/>
                <w:lang w:val="en-US" w:eastAsia="zh-CN"/>
              </w:rPr>
              <w:t>4</w:t>
            </w:r>
            <w:r>
              <w:rPr>
                <w:rFonts w:hint="eastAsia" w:ascii="宋体" w:hAnsi="宋体" w:cs="宋体"/>
                <w:szCs w:val="21"/>
              </w:rPr>
              <w:t>分，其他一般参数（</w:t>
            </w:r>
            <w:r>
              <w:rPr>
                <w:rFonts w:hint="eastAsia" w:ascii="宋体" w:hAnsi="宋体" w:cs="宋体"/>
                <w:b/>
                <w:bCs/>
                <w:szCs w:val="21"/>
              </w:rPr>
              <w:t>★参数除外</w:t>
            </w:r>
            <w:r>
              <w:rPr>
                <w:rFonts w:hint="eastAsia" w:ascii="宋体" w:hAnsi="宋体" w:cs="宋体"/>
                <w:szCs w:val="21"/>
              </w:rPr>
              <w:t>）每负偏离（含不符合或者不满足、不响应）一项扣</w:t>
            </w:r>
            <w:r>
              <w:rPr>
                <w:rFonts w:hint="eastAsia" w:ascii="宋体" w:hAnsi="宋体" w:cs="宋体"/>
                <w:szCs w:val="21"/>
                <w:lang w:val="en-US" w:eastAsia="zh-CN"/>
              </w:rPr>
              <w:t>2</w:t>
            </w:r>
            <w:r>
              <w:rPr>
                <w:rFonts w:hint="eastAsia" w:ascii="宋体" w:hAnsi="宋体" w:cs="宋体"/>
                <w:szCs w:val="21"/>
              </w:rPr>
              <w:t>分。扣完为止。</w:t>
            </w:r>
          </w:p>
          <w:p w14:paraId="10606C1B">
            <w:pPr>
              <w:pStyle w:val="8"/>
              <w:spacing w:line="240" w:lineRule="auto"/>
              <w:ind w:firstLine="0"/>
              <w:rPr>
                <w:rFonts w:hint="eastAsia"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证明文件：</w:t>
            </w:r>
          </w:p>
          <w:p w14:paraId="149B08B6">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投标人需提供《技术</w:t>
            </w:r>
            <w:r>
              <w:rPr>
                <w:rFonts w:hint="eastAsia" w:ascii="宋体" w:hAnsi="宋体" w:cs="宋体"/>
                <w:color w:val="000000" w:themeColor="text1"/>
                <w:szCs w:val="21"/>
                <w:highlight w:val="none"/>
                <w:lang w:val="en-US" w:eastAsia="zh-CN"/>
                <w14:textFill>
                  <w14:solidFill>
                    <w14:schemeClr w14:val="tx1"/>
                  </w14:solidFill>
                </w14:textFill>
              </w:rPr>
              <w:t>规格</w:t>
            </w:r>
            <w:r>
              <w:rPr>
                <w:rFonts w:hint="eastAsia" w:ascii="宋体" w:hAnsi="宋体" w:cs="宋体"/>
                <w:color w:val="000000" w:themeColor="text1"/>
                <w:szCs w:val="21"/>
                <w:highlight w:val="none"/>
                <w14:textFill>
                  <w14:solidFill>
                    <w14:schemeClr w14:val="tx1"/>
                  </w14:solidFill>
                </w14:textFill>
              </w:rPr>
              <w:t>偏离表》，未按要求提供或提供不清晰、未标注导致专家无法判断的不得分。</w:t>
            </w:r>
          </w:p>
          <w:p w14:paraId="0E7BF91D">
            <w:pPr>
              <w:pageBreakBefore w:val="0"/>
              <w:widowControl/>
              <w:numPr>
                <w:ilvl w:val="0"/>
                <w:numId w:val="0"/>
              </w:numPr>
              <w:kinsoku/>
              <w:wordWrap/>
              <w:overflowPunct/>
              <w:topLinePunct w:val="0"/>
              <w:bidi w:val="0"/>
              <w:snapToGrid/>
              <w:spacing w:line="360" w:lineRule="auto"/>
              <w:jc w:val="both"/>
              <w:textAlignment w:val="auto"/>
              <w:rPr>
                <w:rFonts w:hint="eastAsia" w:ascii="宋体" w:hAnsi="宋体" w:cs="宋体"/>
                <w:b/>
                <w:bCs/>
                <w:color w:val="auto"/>
                <w:sz w:val="24"/>
                <w:szCs w:val="24"/>
                <w:vertAlign w:val="baseline"/>
                <w:lang w:val="en-US" w:eastAsia="zh-CN"/>
              </w:rPr>
            </w:pPr>
            <w:r>
              <w:rPr>
                <w:rFonts w:hint="eastAsia" w:ascii="宋体" w:hAnsi="宋体" w:cs="宋体"/>
                <w:b/>
                <w:bCs/>
                <w:color w:val="000000" w:themeColor="text1"/>
                <w:szCs w:val="21"/>
                <w:highlight w:val="none"/>
                <w14:textFill>
                  <w14:solidFill>
                    <w14:schemeClr w14:val="tx1"/>
                  </w14:solidFill>
                </w14:textFill>
              </w:rPr>
              <w:t>提示：投标人的“产品的技术响应情况”必须与客观实际保持一致，响应不实且情节严重的，经查实，将依法记入供应商诚信档案或受到行政处罚。</w:t>
            </w:r>
          </w:p>
        </w:tc>
      </w:tr>
      <w:tr w14:paraId="7D2BE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Pr>
          <w:p w14:paraId="09B1A289">
            <w:pPr>
              <w:pageBreakBefore w:val="0"/>
              <w:widowControl/>
              <w:numPr>
                <w:ilvl w:val="0"/>
                <w:numId w:val="0"/>
              </w:numPr>
              <w:kinsoku/>
              <w:wordWrap/>
              <w:overflowPunct/>
              <w:topLinePunct w:val="0"/>
              <w:bidi w:val="0"/>
              <w:snapToGrid/>
              <w:spacing w:line="360" w:lineRule="auto"/>
              <w:jc w:val="both"/>
              <w:textAlignment w:val="auto"/>
              <w:rPr>
                <w:rFonts w:hint="eastAsia" w:ascii="宋体" w:hAnsi="宋体" w:cs="宋体"/>
                <w:b/>
                <w:bCs/>
                <w:color w:val="auto"/>
                <w:sz w:val="24"/>
                <w:szCs w:val="24"/>
                <w:vertAlign w:val="baseline"/>
                <w:lang w:val="en-US" w:eastAsia="zh-CN"/>
              </w:rPr>
            </w:pPr>
          </w:p>
        </w:tc>
        <w:tc>
          <w:tcPr>
            <w:tcW w:w="738" w:type="dxa"/>
            <w:vAlign w:val="center"/>
          </w:tcPr>
          <w:p w14:paraId="7E99386A">
            <w:pPr>
              <w:jc w:val="center"/>
              <w:rPr>
                <w:rFonts w:hint="eastAsia" w:ascii="宋体" w:hAnsi="宋体" w:cs="宋体"/>
                <w:b/>
                <w:bCs/>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898" w:type="dxa"/>
            <w:vAlign w:val="center"/>
          </w:tcPr>
          <w:p w14:paraId="62FA211D">
            <w:pPr>
              <w:spacing w:line="240" w:lineRule="auto"/>
              <w:jc w:val="center"/>
              <w:rPr>
                <w:rFonts w:hint="eastAsia" w:ascii="宋体" w:hAnsi="宋体" w:cs="宋体"/>
                <w:b/>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实施方案（工作措施、工作方法、工作手段、工作流程）</w:t>
            </w:r>
          </w:p>
        </w:tc>
        <w:tc>
          <w:tcPr>
            <w:tcW w:w="669" w:type="dxa"/>
            <w:vAlign w:val="center"/>
          </w:tcPr>
          <w:p w14:paraId="50C5C032">
            <w:pPr>
              <w:spacing w:line="240" w:lineRule="auto"/>
              <w:jc w:val="center"/>
              <w:rPr>
                <w:rFonts w:hint="eastAsia" w:ascii="宋体" w:hAnsi="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20</w:t>
            </w:r>
          </w:p>
        </w:tc>
        <w:tc>
          <w:tcPr>
            <w:tcW w:w="1220" w:type="dxa"/>
            <w:vAlign w:val="center"/>
          </w:tcPr>
          <w:p w14:paraId="75286CF6">
            <w:pPr>
              <w:spacing w:line="240" w:lineRule="auto"/>
              <w:jc w:val="center"/>
              <w:rPr>
                <w:rFonts w:hint="eastAsia" w:ascii="宋体" w:hAnsi="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专家打分</w:t>
            </w:r>
          </w:p>
        </w:tc>
        <w:tc>
          <w:tcPr>
            <w:tcW w:w="3897" w:type="dxa"/>
            <w:vAlign w:val="top"/>
          </w:tcPr>
          <w:p w14:paraId="5CC60D32">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（一）评分内容：</w:t>
            </w:r>
          </w:p>
          <w:p w14:paraId="1D59C396">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根据投标人提供的项目实施方案进行评审，内容包括：</w:t>
            </w:r>
          </w:p>
          <w:p w14:paraId="20843952">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1.工作措施；</w:t>
            </w:r>
          </w:p>
          <w:p w14:paraId="232E7D1B">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2.工作方法；</w:t>
            </w:r>
          </w:p>
          <w:p w14:paraId="1CD5E606">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3.工作手段；</w:t>
            </w:r>
          </w:p>
          <w:p w14:paraId="5D38E966">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4.工作流程。</w:t>
            </w:r>
          </w:p>
          <w:p w14:paraId="4F4FC104">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（二）评分依据：</w:t>
            </w:r>
          </w:p>
          <w:p w14:paraId="3A0A170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满足四点的得</w:t>
            </w:r>
            <w:r>
              <w:rPr>
                <w:rFonts w:hint="eastAsia" w:ascii="宋体" w:hAnsi="宋体" w:eastAsia="宋体" w:cs="宋体"/>
                <w:color w:val="000000" w:themeColor="text1"/>
                <w:szCs w:val="21"/>
                <w:lang w:val="en-US" w:eastAsia="zh-CN"/>
                <w14:textFill>
                  <w14:solidFill>
                    <w14:schemeClr w14:val="tx1"/>
                  </w14:solidFill>
                </w14:textFill>
              </w:rPr>
              <w:t>10</w:t>
            </w:r>
            <w:r>
              <w:rPr>
                <w:rFonts w:hint="eastAsia" w:ascii="宋体" w:hAnsi="宋体" w:eastAsia="宋体" w:cs="宋体"/>
                <w:color w:val="000000" w:themeColor="text1"/>
                <w:szCs w:val="21"/>
                <w14:textFill>
                  <w14:solidFill>
                    <w14:schemeClr w14:val="tx1"/>
                  </w14:solidFill>
                </w14:textFill>
              </w:rPr>
              <w:t>分，满足任意三点的得</w:t>
            </w:r>
            <w:r>
              <w:rPr>
                <w:rFonts w:hint="eastAsia" w:ascii="宋体" w:hAnsi="宋体" w:eastAsia="宋体" w:cs="宋体"/>
                <w:color w:val="000000" w:themeColor="text1"/>
                <w:szCs w:val="21"/>
                <w:lang w:val="en-US" w:eastAsia="zh-CN"/>
                <w14:textFill>
                  <w14:solidFill>
                    <w14:schemeClr w14:val="tx1"/>
                  </w14:solidFill>
                </w14:textFill>
              </w:rPr>
              <w:t>7</w:t>
            </w:r>
            <w:r>
              <w:rPr>
                <w:rFonts w:hint="eastAsia" w:ascii="宋体" w:hAnsi="宋体" w:eastAsia="宋体" w:cs="宋体"/>
                <w:color w:val="000000" w:themeColor="text1"/>
                <w:szCs w:val="21"/>
                <w14:textFill>
                  <w14:solidFill>
                    <w14:schemeClr w14:val="tx1"/>
                  </w14:solidFill>
                </w14:textFill>
              </w:rPr>
              <w:t>分，满足任意二点的得</w:t>
            </w: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分，只满足任意一点或不提供的不得分。</w:t>
            </w:r>
          </w:p>
          <w:p w14:paraId="2EB64BB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在此基础上，根据各投标人的具体响应内容按照以下的评审因素指标进一步评审：</w:t>
            </w:r>
          </w:p>
          <w:p w14:paraId="12A2B361">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1.实施方案内容全面、科学性、合理性、针对性、可操作性强的评价为优，得10分；</w:t>
            </w:r>
          </w:p>
          <w:p w14:paraId="3E9B947B">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2.实施方案内容比较全面、科学性、合理性、针对性、可操作性比较强的评价为良，得7分；</w:t>
            </w:r>
          </w:p>
          <w:p w14:paraId="03EB8B4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3.实施方案内容一般、科学性、合理性、针对性、可操作性一般的评价为中，得3分；</w:t>
            </w:r>
          </w:p>
          <w:p w14:paraId="7C78E92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4.实施方案内容不全、科学性、合理性、针对性、可操作性较差或未提供的评价为差不得分。</w:t>
            </w:r>
          </w:p>
          <w:p w14:paraId="0EC53A9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本项最高得</w:t>
            </w:r>
            <w:r>
              <w:rPr>
                <w:rFonts w:hint="eastAsia" w:ascii="宋体" w:hAnsi="宋体" w:eastAsia="宋体" w:cs="宋体"/>
                <w:color w:val="000000" w:themeColor="text1"/>
                <w:szCs w:val="21"/>
                <w:lang w:val="en-US" w:eastAsia="zh-CN"/>
                <w14:textFill>
                  <w14:solidFill>
                    <w14:schemeClr w14:val="tx1"/>
                  </w14:solidFill>
                </w14:textFill>
              </w:rPr>
              <w:t>20</w:t>
            </w:r>
            <w:r>
              <w:rPr>
                <w:rFonts w:hint="eastAsia" w:ascii="宋体" w:hAnsi="宋体" w:eastAsia="宋体" w:cs="宋体"/>
                <w:color w:val="000000" w:themeColor="text1"/>
                <w:szCs w:val="21"/>
                <w14:textFill>
                  <w14:solidFill>
                    <w14:schemeClr w14:val="tx1"/>
                  </w14:solidFill>
                </w14:textFill>
              </w:rPr>
              <w:t>分。</w:t>
            </w:r>
          </w:p>
        </w:tc>
      </w:tr>
      <w:tr w14:paraId="16ED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Pr>
          <w:p w14:paraId="64DB2BA0">
            <w:pPr>
              <w:pageBreakBefore w:val="0"/>
              <w:widowControl/>
              <w:numPr>
                <w:ilvl w:val="0"/>
                <w:numId w:val="0"/>
              </w:numPr>
              <w:kinsoku/>
              <w:wordWrap/>
              <w:overflowPunct/>
              <w:topLinePunct w:val="0"/>
              <w:bidi w:val="0"/>
              <w:snapToGrid/>
              <w:spacing w:line="360" w:lineRule="auto"/>
              <w:jc w:val="both"/>
              <w:textAlignment w:val="auto"/>
              <w:rPr>
                <w:rFonts w:hint="eastAsia" w:ascii="宋体" w:hAnsi="宋体" w:cs="宋体"/>
                <w:b/>
                <w:bCs/>
                <w:color w:val="auto"/>
                <w:sz w:val="24"/>
                <w:szCs w:val="24"/>
                <w:vertAlign w:val="baseline"/>
                <w:lang w:val="en-US" w:eastAsia="zh-CN"/>
              </w:rPr>
            </w:pPr>
          </w:p>
        </w:tc>
        <w:tc>
          <w:tcPr>
            <w:tcW w:w="738" w:type="dxa"/>
            <w:shd w:val="clear" w:color="auto" w:fill="auto"/>
            <w:vAlign w:val="center"/>
          </w:tcPr>
          <w:p w14:paraId="785B35C8">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p>
        </w:tc>
        <w:tc>
          <w:tcPr>
            <w:tcW w:w="1898" w:type="dxa"/>
            <w:shd w:val="clear" w:color="auto" w:fill="auto"/>
            <w:vAlign w:val="center"/>
          </w:tcPr>
          <w:p w14:paraId="4B13B833">
            <w:pPr>
              <w:spacing w:line="240" w:lineRule="auto"/>
              <w:jc w:val="center"/>
              <w:rPr>
                <w:rFonts w:hint="eastAsia" w:ascii="宋体" w:hAnsi="宋体" w:eastAsia="宋体" w:cs="宋体"/>
                <w:color w:val="000000" w:themeColor="text1"/>
                <w:spacing w:val="-5"/>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质量（完成时间、安全、环保）保障措施及方案</w:t>
            </w:r>
          </w:p>
        </w:tc>
        <w:tc>
          <w:tcPr>
            <w:tcW w:w="669" w:type="dxa"/>
            <w:shd w:val="clear" w:color="auto" w:fill="auto"/>
            <w:vAlign w:val="center"/>
          </w:tcPr>
          <w:p w14:paraId="26E413AA">
            <w:pPr>
              <w:spacing w:line="240" w:lineRule="auto"/>
              <w:jc w:val="center"/>
              <w:rPr>
                <w:rFonts w:hint="eastAsia" w:ascii="宋体" w:hAnsi="宋体" w:eastAsia="宋体" w:cs="宋体"/>
                <w:color w:val="000000" w:themeColor="text1"/>
                <w:spacing w:val="-5"/>
                <w:kern w:val="2"/>
                <w:sz w:val="21"/>
                <w:szCs w:val="21"/>
                <w:lang w:val="en-US" w:eastAsia="zh-CN" w:bidi="ar-SA"/>
                <w14:textFill>
                  <w14:solidFill>
                    <w14:schemeClr w14:val="tx1"/>
                  </w14:solidFill>
                </w14:textFill>
              </w:rPr>
            </w:pPr>
            <w:r>
              <w:rPr>
                <w:rFonts w:hint="eastAsia" w:ascii="宋体" w:hAnsi="宋体" w:cs="宋体"/>
                <w:color w:val="000000" w:themeColor="text1"/>
                <w:spacing w:val="-5"/>
                <w:sz w:val="21"/>
                <w:szCs w:val="21"/>
                <w:lang w:val="en-US" w:eastAsia="zh-CN"/>
                <w14:textFill>
                  <w14:solidFill>
                    <w14:schemeClr w14:val="tx1"/>
                  </w14:solidFill>
                </w14:textFill>
              </w:rPr>
              <w:t>1</w:t>
            </w:r>
            <w:r>
              <w:rPr>
                <w:rFonts w:hint="eastAsia" w:ascii="宋体" w:hAnsi="宋体" w:eastAsia="宋体" w:cs="宋体"/>
                <w:color w:val="000000" w:themeColor="text1"/>
                <w:spacing w:val="-5"/>
                <w:sz w:val="21"/>
                <w:szCs w:val="21"/>
                <w14:textFill>
                  <w14:solidFill>
                    <w14:schemeClr w14:val="tx1"/>
                  </w14:solidFill>
                </w14:textFill>
              </w:rPr>
              <w:t>0</w:t>
            </w:r>
          </w:p>
        </w:tc>
        <w:tc>
          <w:tcPr>
            <w:tcW w:w="1220" w:type="dxa"/>
            <w:shd w:val="clear" w:color="auto" w:fill="auto"/>
            <w:vAlign w:val="center"/>
          </w:tcPr>
          <w:p w14:paraId="33945942">
            <w:pPr>
              <w:spacing w:line="24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专家打分</w:t>
            </w:r>
          </w:p>
        </w:tc>
        <w:tc>
          <w:tcPr>
            <w:tcW w:w="3897" w:type="dxa"/>
            <w:shd w:val="clear" w:color="auto" w:fill="auto"/>
            <w:vAlign w:val="top"/>
          </w:tcPr>
          <w:p w14:paraId="1CC7050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（一）评分内容：</w:t>
            </w:r>
          </w:p>
          <w:p w14:paraId="22D7837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根据投标人提供的质量保障措施及方案进行评审，内容包括：</w:t>
            </w:r>
          </w:p>
          <w:p w14:paraId="5842C1FD">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1.项目完成时间保障措施；</w:t>
            </w:r>
          </w:p>
          <w:p w14:paraId="6F25609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2.项目安全保障措施；</w:t>
            </w:r>
          </w:p>
          <w:p w14:paraId="719E59A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3.详细阐述项目质量管理制度。</w:t>
            </w:r>
          </w:p>
          <w:p w14:paraId="3C567E2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（二）评分依据：</w:t>
            </w:r>
          </w:p>
          <w:p w14:paraId="0A7F014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满足三点的得</w:t>
            </w: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分，满足任意二点的得</w:t>
            </w: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分，满足任意一点的得</w:t>
            </w:r>
            <w:r>
              <w:rPr>
                <w:rFonts w:hint="eastAsia" w:ascii="宋体" w:hAnsi="宋体" w:eastAsia="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分</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不提供的不得分。</w:t>
            </w:r>
          </w:p>
          <w:p w14:paraId="3E8914A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在此基础上，根据各投标人的具体响应内容按照以下的评审因素指标进一步评审：</w:t>
            </w:r>
          </w:p>
          <w:p w14:paraId="41431C8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1.实施方案内容全面、科学性、合理性、针对性、可操作性强的评价为优，得</w:t>
            </w: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分；</w:t>
            </w:r>
          </w:p>
          <w:p w14:paraId="2A915E3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2.实施方案内容比较全面、科学性、合理性、针对性、可操作性比较强的评价为良，得</w:t>
            </w: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分；</w:t>
            </w:r>
          </w:p>
          <w:p w14:paraId="74A23CB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3.实施方案内容一般、科学性、合理性、针对性、可操作性一般的评价为中，得</w:t>
            </w:r>
            <w:r>
              <w:rPr>
                <w:rFonts w:hint="eastAsia" w:ascii="宋体" w:hAnsi="宋体" w:eastAsia="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分；</w:t>
            </w:r>
          </w:p>
          <w:p w14:paraId="46DCEBF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4.实施方案内容不全、科学性、合理性、针对性、可操作性较差或未提供的评价为差不得分。</w:t>
            </w:r>
          </w:p>
          <w:p w14:paraId="144F414D">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本项最高得</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lang w:val="en-US" w:eastAsia="zh-CN"/>
                <w14:textFill>
                  <w14:solidFill>
                    <w14:schemeClr w14:val="tx1"/>
                  </w14:solidFill>
                </w14:textFill>
              </w:rPr>
              <w:t>0</w:t>
            </w:r>
            <w:r>
              <w:rPr>
                <w:rFonts w:hint="eastAsia" w:ascii="宋体" w:hAnsi="宋体" w:eastAsia="宋体" w:cs="宋体"/>
                <w:color w:val="000000" w:themeColor="text1"/>
                <w:szCs w:val="21"/>
                <w14:textFill>
                  <w14:solidFill>
                    <w14:schemeClr w14:val="tx1"/>
                  </w14:solidFill>
                </w14:textFill>
              </w:rPr>
              <w:t>分。</w:t>
            </w:r>
          </w:p>
        </w:tc>
      </w:tr>
      <w:tr w14:paraId="3BA8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Pr>
          <w:p w14:paraId="795D79C2">
            <w:pPr>
              <w:pageBreakBefore w:val="0"/>
              <w:widowControl/>
              <w:numPr>
                <w:ilvl w:val="0"/>
                <w:numId w:val="0"/>
              </w:numPr>
              <w:kinsoku/>
              <w:wordWrap/>
              <w:overflowPunct/>
              <w:topLinePunct w:val="0"/>
              <w:bidi w:val="0"/>
              <w:snapToGrid/>
              <w:spacing w:line="360" w:lineRule="auto"/>
              <w:jc w:val="both"/>
              <w:textAlignment w:val="auto"/>
              <w:rPr>
                <w:rFonts w:hint="eastAsia" w:ascii="宋体" w:hAnsi="宋体" w:cs="宋体"/>
                <w:b/>
                <w:bCs/>
                <w:color w:val="auto"/>
                <w:sz w:val="24"/>
                <w:szCs w:val="24"/>
                <w:vertAlign w:val="baseline"/>
                <w:lang w:val="en-US" w:eastAsia="zh-CN"/>
              </w:rPr>
            </w:pPr>
          </w:p>
        </w:tc>
        <w:tc>
          <w:tcPr>
            <w:tcW w:w="738" w:type="dxa"/>
            <w:shd w:val="clear" w:color="auto" w:fill="auto"/>
            <w:vAlign w:val="center"/>
          </w:tcPr>
          <w:p w14:paraId="487A7A4A">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p>
        </w:tc>
        <w:tc>
          <w:tcPr>
            <w:tcW w:w="1898" w:type="dxa"/>
            <w:shd w:val="clear" w:color="auto" w:fill="auto"/>
            <w:vAlign w:val="center"/>
          </w:tcPr>
          <w:p w14:paraId="6A14A68F">
            <w:pPr>
              <w:spacing w:line="240" w:lineRule="auto"/>
              <w:jc w:val="center"/>
              <w:rPr>
                <w:rFonts w:hint="eastAsia" w:ascii="宋体" w:hAnsi="宋体" w:eastAsia="宋体" w:cs="宋体"/>
                <w:color w:val="000000" w:themeColor="text1"/>
                <w:spacing w:val="-5"/>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服务承诺</w:t>
            </w:r>
          </w:p>
        </w:tc>
        <w:tc>
          <w:tcPr>
            <w:tcW w:w="669" w:type="dxa"/>
            <w:shd w:val="clear" w:color="auto" w:fill="auto"/>
            <w:vAlign w:val="center"/>
          </w:tcPr>
          <w:p w14:paraId="1F60E473">
            <w:pPr>
              <w:spacing w:line="240" w:lineRule="auto"/>
              <w:jc w:val="center"/>
              <w:rPr>
                <w:rFonts w:hint="eastAsia" w:ascii="宋体" w:hAnsi="宋体" w:eastAsia="宋体" w:cs="宋体"/>
                <w:color w:val="000000" w:themeColor="text1"/>
                <w:spacing w:val="-5"/>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10</w:t>
            </w:r>
          </w:p>
        </w:tc>
        <w:tc>
          <w:tcPr>
            <w:tcW w:w="1220" w:type="dxa"/>
            <w:shd w:val="clear" w:color="auto" w:fill="auto"/>
            <w:vAlign w:val="center"/>
          </w:tcPr>
          <w:p w14:paraId="6C49D982">
            <w:pPr>
              <w:keepNext w:val="0"/>
              <w:keepLines w:val="0"/>
              <w:pageBreakBefore w:val="0"/>
              <w:widowControl w:val="0"/>
              <w:kinsoku/>
              <w:wordWrap/>
              <w:overflowPunct/>
              <w:topLinePunct w:val="0"/>
              <w:autoSpaceDE/>
              <w:autoSpaceDN/>
              <w:bidi w:val="0"/>
              <w:adjustRightInd/>
              <w:snapToGrid/>
              <w:spacing w:line="3600" w:lineRule="auto"/>
              <w:jc w:val="center"/>
              <w:textAlignment w:val="auto"/>
              <w:rPr>
                <w:rFonts w:hint="eastAsia" w:ascii="宋体" w:hAnsi="宋体" w:eastAsia="宋体" w:cs="宋体"/>
                <w:color w:val="000000" w:themeColor="text1"/>
                <w:spacing w:val="-5"/>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专家打分</w:t>
            </w:r>
          </w:p>
        </w:tc>
        <w:tc>
          <w:tcPr>
            <w:tcW w:w="3897" w:type="dxa"/>
            <w:shd w:val="clear" w:color="auto" w:fill="auto"/>
            <w:vAlign w:val="top"/>
          </w:tcPr>
          <w:p w14:paraId="248CA7E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（一）评分内容：</w:t>
            </w:r>
          </w:p>
          <w:p w14:paraId="48BEF6C9">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根据投标人提供的服务承诺进行评审，内容包括：</w:t>
            </w:r>
          </w:p>
          <w:p w14:paraId="4917DD8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1.项目服务人员信息与联系方式</w:t>
            </w:r>
            <w:r>
              <w:rPr>
                <w:rFonts w:hint="eastAsia" w:ascii="宋体" w:hAnsi="宋体" w:eastAsia="宋体" w:cs="宋体"/>
                <w:color w:val="000000" w:themeColor="text1"/>
                <w:szCs w:val="21"/>
                <w:lang w:eastAsia="zh-CN"/>
                <w14:textFill>
                  <w14:solidFill>
                    <w14:schemeClr w14:val="tx1"/>
                  </w14:solidFill>
                </w14:textFill>
              </w:rPr>
              <w:t>；</w:t>
            </w:r>
          </w:p>
          <w:p w14:paraId="1CDE186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2.项目完成后服务时限</w:t>
            </w:r>
            <w:r>
              <w:rPr>
                <w:rFonts w:hint="eastAsia" w:ascii="宋体" w:hAnsi="宋体" w:eastAsia="宋体" w:cs="宋体"/>
                <w:color w:val="000000" w:themeColor="text1"/>
                <w:szCs w:val="21"/>
                <w:lang w:eastAsia="zh-CN"/>
                <w14:textFill>
                  <w14:solidFill>
                    <w14:schemeClr w14:val="tx1"/>
                  </w14:solidFill>
                </w14:textFill>
              </w:rPr>
              <w:t>；</w:t>
            </w:r>
          </w:p>
          <w:p w14:paraId="7F00314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3.项目完成后服务内容与响应时间。</w:t>
            </w:r>
          </w:p>
          <w:p w14:paraId="239CBA7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（二）评分依据：</w:t>
            </w:r>
          </w:p>
          <w:p w14:paraId="27C63A6D">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满足三点的得</w:t>
            </w: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分，满足任意二点的得</w:t>
            </w: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分，满足任意一点的得</w:t>
            </w:r>
            <w:r>
              <w:rPr>
                <w:rFonts w:hint="eastAsia" w:ascii="宋体" w:hAnsi="宋体" w:eastAsia="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分</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不提供的不得分。</w:t>
            </w:r>
          </w:p>
          <w:p w14:paraId="2504448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在此基础上，根据各投标人的具体响应内容按照以下的评审因素指标进一步评审：</w:t>
            </w:r>
          </w:p>
          <w:p w14:paraId="7577A96D">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1.实施方案内容全面、科学性、合理性、针对性、可操作性强的评价为优，得</w:t>
            </w: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分；</w:t>
            </w:r>
          </w:p>
          <w:p w14:paraId="6454E4C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2.实施方案内容比较全面、科学性、合理性、针对性、可操作性比较强的评价为良，得</w:t>
            </w: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分；</w:t>
            </w:r>
          </w:p>
          <w:p w14:paraId="01E2D5E1">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3.实施方案内容一般、科学性、合理性、针对性、可操作性一般的评价为中，得</w:t>
            </w:r>
            <w:r>
              <w:rPr>
                <w:rFonts w:hint="eastAsia" w:ascii="宋体" w:hAnsi="宋体" w:eastAsia="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分；</w:t>
            </w:r>
          </w:p>
          <w:p w14:paraId="56BCB466">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4.实施方案内容不全、科学性、合理性、针对性、可操作性较差或未提供的评价为差不得分。</w:t>
            </w:r>
          </w:p>
          <w:p w14:paraId="03EEF5F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本项最高得</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lang w:val="en-US" w:eastAsia="zh-CN"/>
                <w14:textFill>
                  <w14:solidFill>
                    <w14:schemeClr w14:val="tx1"/>
                  </w14:solidFill>
                </w14:textFill>
              </w:rPr>
              <w:t>0</w:t>
            </w:r>
            <w:r>
              <w:rPr>
                <w:rFonts w:hint="eastAsia" w:ascii="宋体" w:hAnsi="宋体" w:eastAsia="宋体" w:cs="宋体"/>
                <w:color w:val="000000" w:themeColor="text1"/>
                <w:szCs w:val="21"/>
                <w14:textFill>
                  <w14:solidFill>
                    <w14:schemeClr w14:val="tx1"/>
                  </w14:solidFill>
                </w14:textFill>
              </w:rPr>
              <w:t>分。</w:t>
            </w:r>
          </w:p>
        </w:tc>
      </w:tr>
      <w:tr w14:paraId="6F46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Pr>
          <w:p w14:paraId="45A2540E">
            <w:pPr>
              <w:pageBreakBefore w:val="0"/>
              <w:widowControl/>
              <w:numPr>
                <w:ilvl w:val="0"/>
                <w:numId w:val="0"/>
              </w:numPr>
              <w:kinsoku/>
              <w:wordWrap/>
              <w:overflowPunct/>
              <w:topLinePunct w:val="0"/>
              <w:bidi w:val="0"/>
              <w:snapToGrid/>
              <w:spacing w:line="360" w:lineRule="auto"/>
              <w:jc w:val="both"/>
              <w:textAlignment w:val="auto"/>
              <w:rPr>
                <w:rFonts w:hint="eastAsia" w:ascii="宋体" w:hAnsi="宋体" w:cs="宋体"/>
                <w:b/>
                <w:bCs/>
                <w:color w:val="auto"/>
                <w:sz w:val="24"/>
                <w:szCs w:val="24"/>
                <w:vertAlign w:val="baseline"/>
                <w:lang w:val="en-US" w:eastAsia="zh-CN"/>
              </w:rPr>
            </w:pPr>
          </w:p>
        </w:tc>
        <w:tc>
          <w:tcPr>
            <w:tcW w:w="738" w:type="dxa"/>
            <w:shd w:val="clear" w:color="auto" w:fill="auto"/>
            <w:vAlign w:val="center"/>
          </w:tcPr>
          <w:p w14:paraId="7761E919">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p>
        </w:tc>
        <w:tc>
          <w:tcPr>
            <w:tcW w:w="1898" w:type="dxa"/>
            <w:shd w:val="clear" w:color="auto" w:fill="auto"/>
            <w:vAlign w:val="center"/>
          </w:tcPr>
          <w:p w14:paraId="65EBA22B">
            <w:pPr>
              <w:spacing w:line="240" w:lineRule="auto"/>
              <w:jc w:val="center"/>
              <w:rPr>
                <w:rFonts w:hint="eastAsia" w:ascii="宋体" w:hAnsi="宋体" w:eastAsia="宋体" w:cs="宋体"/>
                <w:color w:val="000000" w:themeColor="text1"/>
                <w:spacing w:val="-5"/>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违约承诺</w:t>
            </w:r>
          </w:p>
        </w:tc>
        <w:tc>
          <w:tcPr>
            <w:tcW w:w="669" w:type="dxa"/>
            <w:shd w:val="clear" w:color="auto" w:fill="auto"/>
            <w:vAlign w:val="center"/>
          </w:tcPr>
          <w:p w14:paraId="12A94D93">
            <w:pPr>
              <w:spacing w:line="240" w:lineRule="auto"/>
              <w:jc w:val="center"/>
              <w:rPr>
                <w:rFonts w:hint="eastAsia" w:ascii="宋体" w:hAnsi="宋体" w:eastAsia="宋体" w:cs="宋体"/>
                <w:color w:val="000000" w:themeColor="text1"/>
                <w:spacing w:val="-5"/>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6</w:t>
            </w:r>
          </w:p>
        </w:tc>
        <w:tc>
          <w:tcPr>
            <w:tcW w:w="1220" w:type="dxa"/>
            <w:shd w:val="clear" w:color="auto" w:fill="auto"/>
            <w:vAlign w:val="center"/>
          </w:tcPr>
          <w:p w14:paraId="46BBA2BD">
            <w:pPr>
              <w:spacing w:line="24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专家打分</w:t>
            </w:r>
          </w:p>
        </w:tc>
        <w:tc>
          <w:tcPr>
            <w:tcW w:w="3897" w:type="dxa"/>
            <w:shd w:val="clear" w:color="auto" w:fill="auto"/>
            <w:vAlign w:val="top"/>
          </w:tcPr>
          <w:p w14:paraId="729779DB">
            <w:pPr>
              <w:keepNext w:val="0"/>
              <w:keepLines w:val="0"/>
              <w:pageBreakBefore w:val="0"/>
              <w:widowControl w:val="0"/>
              <w:kinsoku/>
              <w:wordWrap/>
              <w:overflowPunct/>
              <w:topLinePunct w:val="0"/>
              <w:autoSpaceDE/>
              <w:autoSpaceDN/>
              <w:bidi w:val="0"/>
              <w:adjustRightInd/>
              <w:snapToGrid/>
              <w:ind w:left="-78" w:leftChars="-37" w:right="-73" w:rightChars="-35"/>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（一）评分内容：</w:t>
            </w:r>
          </w:p>
          <w:p w14:paraId="1DE0280C">
            <w:pPr>
              <w:keepNext w:val="0"/>
              <w:keepLines w:val="0"/>
              <w:pageBreakBefore w:val="0"/>
              <w:widowControl w:val="0"/>
              <w:kinsoku/>
              <w:wordWrap/>
              <w:overflowPunct/>
              <w:topLinePunct w:val="0"/>
              <w:autoSpaceDE/>
              <w:autoSpaceDN/>
              <w:bidi w:val="0"/>
              <w:adjustRightInd/>
              <w:snapToGrid/>
              <w:ind w:left="-78" w:leftChars="-37" w:right="-73" w:rightChars="-35"/>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根据投标人承诺以下三项全部内容的得6分，否则不得分。</w:t>
            </w:r>
          </w:p>
          <w:p w14:paraId="486DBBDE">
            <w:pPr>
              <w:keepNext w:val="0"/>
              <w:keepLines w:val="0"/>
              <w:pageBreakBefore w:val="0"/>
              <w:widowControl w:val="0"/>
              <w:kinsoku/>
              <w:wordWrap/>
              <w:overflowPunct/>
              <w:topLinePunct w:val="0"/>
              <w:autoSpaceDE/>
              <w:autoSpaceDN/>
              <w:bidi w:val="0"/>
              <w:adjustRightInd/>
              <w:snapToGrid/>
              <w:ind w:left="-78" w:leftChars="-37" w:right="-73" w:rightChars="-35"/>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1.发生质量不合格时的违约承诺；</w:t>
            </w:r>
          </w:p>
          <w:p w14:paraId="7E903133">
            <w:pPr>
              <w:keepNext w:val="0"/>
              <w:keepLines w:val="0"/>
              <w:pageBreakBefore w:val="0"/>
              <w:widowControl w:val="0"/>
              <w:kinsoku/>
              <w:wordWrap/>
              <w:overflowPunct/>
              <w:topLinePunct w:val="0"/>
              <w:autoSpaceDE/>
              <w:autoSpaceDN/>
              <w:bidi w:val="0"/>
              <w:adjustRightInd/>
              <w:snapToGrid/>
              <w:ind w:left="-78" w:leftChars="-37" w:right="-73" w:rightChars="-35"/>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2.出现工期延误时的违约承诺；</w:t>
            </w:r>
          </w:p>
          <w:p w14:paraId="5B3492CB">
            <w:pPr>
              <w:keepNext w:val="0"/>
              <w:keepLines w:val="0"/>
              <w:pageBreakBefore w:val="0"/>
              <w:widowControl w:val="0"/>
              <w:kinsoku/>
              <w:wordWrap/>
              <w:overflowPunct/>
              <w:topLinePunct w:val="0"/>
              <w:autoSpaceDE/>
              <w:autoSpaceDN/>
              <w:bidi w:val="0"/>
              <w:adjustRightInd/>
              <w:snapToGrid/>
              <w:ind w:left="-78" w:leftChars="-37" w:right="-73" w:rightChars="-35"/>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3.人员未按照招标文件及投标承诺配置的违约承诺。</w:t>
            </w:r>
          </w:p>
          <w:p w14:paraId="5E35E75D">
            <w:pPr>
              <w:keepNext w:val="0"/>
              <w:keepLines w:val="0"/>
              <w:pageBreakBefore w:val="0"/>
              <w:widowControl w:val="0"/>
              <w:kinsoku/>
              <w:wordWrap/>
              <w:overflowPunct/>
              <w:topLinePunct w:val="0"/>
              <w:autoSpaceDE/>
              <w:autoSpaceDN/>
              <w:bidi w:val="0"/>
              <w:adjustRightInd/>
              <w:snapToGrid/>
              <w:ind w:left="-78" w:leftChars="-37" w:right="-73" w:rightChars="-35"/>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（二）评分依据：</w:t>
            </w:r>
          </w:p>
          <w:p w14:paraId="01B94631">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要求投标人提供</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承诺函（格式自拟）</w:t>
            </w:r>
            <w:r>
              <w:rPr>
                <w:rFonts w:hint="eastAsia" w:ascii="宋体" w:hAnsi="宋体" w:eastAsia="宋体" w:cs="宋体"/>
                <w:color w:val="000000" w:themeColor="text1"/>
                <w:sz w:val="21"/>
                <w:szCs w:val="21"/>
                <w:highlight w:val="none"/>
                <w:lang w:val="en-US" w:eastAsia="zh-CN"/>
                <w14:textFill>
                  <w14:solidFill>
                    <w14:schemeClr w14:val="tx1"/>
                  </w14:solidFill>
                </w14:textFill>
              </w:rPr>
              <w:t>作为得分依据并加盖投标人公章，未提供承诺或承诺内容不满足要求不得分。</w:t>
            </w:r>
          </w:p>
        </w:tc>
      </w:tr>
      <w:tr w14:paraId="54A9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Pr>
          <w:p w14:paraId="10DEC02F">
            <w:pPr>
              <w:pageBreakBefore w:val="0"/>
              <w:widowControl/>
              <w:numPr>
                <w:ilvl w:val="0"/>
                <w:numId w:val="0"/>
              </w:numPr>
              <w:kinsoku/>
              <w:wordWrap/>
              <w:overflowPunct/>
              <w:topLinePunct w:val="0"/>
              <w:bidi w:val="0"/>
              <w:snapToGrid/>
              <w:spacing w:line="360" w:lineRule="auto"/>
              <w:jc w:val="both"/>
              <w:textAlignment w:val="auto"/>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3</w:t>
            </w:r>
          </w:p>
        </w:tc>
        <w:tc>
          <w:tcPr>
            <w:tcW w:w="4525" w:type="dxa"/>
            <w:gridSpan w:val="4"/>
          </w:tcPr>
          <w:p w14:paraId="721F060A">
            <w:pPr>
              <w:pageBreakBefore w:val="0"/>
              <w:widowControl/>
              <w:numPr>
                <w:ilvl w:val="0"/>
                <w:numId w:val="0"/>
              </w:numPr>
              <w:kinsoku/>
              <w:wordWrap/>
              <w:overflowPunct/>
              <w:topLinePunct w:val="0"/>
              <w:bidi w:val="0"/>
              <w:snapToGrid/>
              <w:spacing w:line="360" w:lineRule="auto"/>
              <w:jc w:val="center"/>
              <w:textAlignment w:val="auto"/>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商务部分</w:t>
            </w:r>
          </w:p>
        </w:tc>
        <w:tc>
          <w:tcPr>
            <w:tcW w:w="3897" w:type="dxa"/>
          </w:tcPr>
          <w:p w14:paraId="29DC0E0C">
            <w:pPr>
              <w:pageBreakBefore w:val="0"/>
              <w:widowControl/>
              <w:numPr>
                <w:ilvl w:val="0"/>
                <w:numId w:val="0"/>
              </w:numPr>
              <w:kinsoku/>
              <w:wordWrap/>
              <w:overflowPunct/>
              <w:topLinePunct w:val="0"/>
              <w:bidi w:val="0"/>
              <w:snapToGrid/>
              <w:spacing w:line="360" w:lineRule="auto"/>
              <w:jc w:val="center"/>
              <w:textAlignment w:val="auto"/>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14</w:t>
            </w:r>
          </w:p>
        </w:tc>
      </w:tr>
      <w:tr w14:paraId="7A13C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Pr>
          <w:p w14:paraId="70C93C5A">
            <w:pPr>
              <w:pageBreakBefore w:val="0"/>
              <w:widowControl/>
              <w:numPr>
                <w:ilvl w:val="0"/>
                <w:numId w:val="0"/>
              </w:numPr>
              <w:kinsoku/>
              <w:wordWrap/>
              <w:overflowPunct/>
              <w:topLinePunct w:val="0"/>
              <w:bidi w:val="0"/>
              <w:snapToGrid/>
              <w:spacing w:line="360" w:lineRule="auto"/>
              <w:jc w:val="both"/>
              <w:textAlignment w:val="auto"/>
              <w:rPr>
                <w:rFonts w:hint="eastAsia" w:ascii="宋体" w:hAnsi="宋体" w:cs="宋体"/>
                <w:b/>
                <w:bCs/>
                <w:color w:val="auto"/>
                <w:sz w:val="24"/>
                <w:szCs w:val="24"/>
                <w:vertAlign w:val="baseline"/>
                <w:lang w:val="en-US" w:eastAsia="zh-CN"/>
              </w:rPr>
            </w:pPr>
          </w:p>
        </w:tc>
        <w:tc>
          <w:tcPr>
            <w:tcW w:w="738" w:type="dxa"/>
          </w:tcPr>
          <w:p w14:paraId="6F831F0C">
            <w:pPr>
              <w:pageBreakBefore w:val="0"/>
              <w:widowControl/>
              <w:numPr>
                <w:ilvl w:val="0"/>
                <w:numId w:val="0"/>
              </w:numPr>
              <w:kinsoku/>
              <w:wordWrap/>
              <w:overflowPunct/>
              <w:topLinePunct w:val="0"/>
              <w:bidi w:val="0"/>
              <w:snapToGrid/>
              <w:spacing w:line="360" w:lineRule="auto"/>
              <w:jc w:val="center"/>
              <w:textAlignment w:val="auto"/>
              <w:rPr>
                <w:rFonts w:hint="default" w:ascii="宋体" w:hAnsi="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序号</w:t>
            </w:r>
          </w:p>
        </w:tc>
        <w:tc>
          <w:tcPr>
            <w:tcW w:w="1898" w:type="dxa"/>
            <w:shd w:val="clear" w:color="auto" w:fill="auto"/>
            <w:vAlign w:val="center"/>
          </w:tcPr>
          <w:p w14:paraId="7822E4E1">
            <w:pPr>
              <w:jc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评分因素</w:t>
            </w:r>
          </w:p>
        </w:tc>
        <w:tc>
          <w:tcPr>
            <w:tcW w:w="669" w:type="dxa"/>
            <w:shd w:val="clear" w:color="auto" w:fill="auto"/>
            <w:vAlign w:val="center"/>
          </w:tcPr>
          <w:p w14:paraId="7B222B06">
            <w:pPr>
              <w:jc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权重</w:t>
            </w:r>
          </w:p>
        </w:tc>
        <w:tc>
          <w:tcPr>
            <w:tcW w:w="1220" w:type="dxa"/>
            <w:shd w:val="clear" w:color="auto" w:fill="auto"/>
            <w:vAlign w:val="center"/>
          </w:tcPr>
          <w:p w14:paraId="6E61206C">
            <w:pPr>
              <w:jc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评分方式</w:t>
            </w:r>
          </w:p>
        </w:tc>
        <w:tc>
          <w:tcPr>
            <w:tcW w:w="3897" w:type="dxa"/>
            <w:shd w:val="clear" w:color="auto" w:fill="auto"/>
            <w:vAlign w:val="center"/>
          </w:tcPr>
          <w:p w14:paraId="53F59DAD">
            <w:pPr>
              <w:jc w:val="cente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评分准则</w:t>
            </w:r>
          </w:p>
        </w:tc>
      </w:tr>
      <w:tr w14:paraId="7ED4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Pr>
          <w:p w14:paraId="7FA8512B">
            <w:pPr>
              <w:pageBreakBefore w:val="0"/>
              <w:widowControl/>
              <w:numPr>
                <w:ilvl w:val="0"/>
                <w:numId w:val="0"/>
              </w:numPr>
              <w:kinsoku/>
              <w:wordWrap/>
              <w:overflowPunct/>
              <w:topLinePunct w:val="0"/>
              <w:bidi w:val="0"/>
              <w:snapToGrid/>
              <w:spacing w:line="360" w:lineRule="auto"/>
              <w:jc w:val="both"/>
              <w:textAlignment w:val="auto"/>
              <w:rPr>
                <w:rFonts w:hint="eastAsia" w:ascii="宋体" w:hAnsi="宋体" w:cs="宋体"/>
                <w:b/>
                <w:bCs/>
                <w:color w:val="auto"/>
                <w:sz w:val="24"/>
                <w:szCs w:val="24"/>
                <w:vertAlign w:val="baseline"/>
                <w:lang w:val="en-US" w:eastAsia="zh-CN"/>
              </w:rPr>
            </w:pPr>
          </w:p>
        </w:tc>
        <w:tc>
          <w:tcPr>
            <w:tcW w:w="738" w:type="dxa"/>
            <w:shd w:val="clear" w:color="auto" w:fill="auto"/>
            <w:vAlign w:val="center"/>
          </w:tcPr>
          <w:p w14:paraId="57ED0161">
            <w:pPr>
              <w:spacing w:line="240" w:lineRule="auto"/>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p>
        </w:tc>
        <w:tc>
          <w:tcPr>
            <w:tcW w:w="1898" w:type="dxa"/>
            <w:shd w:val="solid" w:color="FFFFFF" w:fill="auto"/>
            <w:vAlign w:val="center"/>
          </w:tcPr>
          <w:p w14:paraId="1E67BC93">
            <w:pPr>
              <w:spacing w:line="24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同类项目业绩</w:t>
            </w:r>
          </w:p>
        </w:tc>
        <w:tc>
          <w:tcPr>
            <w:tcW w:w="669" w:type="dxa"/>
            <w:shd w:val="solid" w:color="FFFFFF" w:fill="auto"/>
            <w:vAlign w:val="center"/>
          </w:tcPr>
          <w:p w14:paraId="4B348B9E">
            <w:pPr>
              <w:spacing w:line="24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w:t>
            </w:r>
          </w:p>
        </w:tc>
        <w:tc>
          <w:tcPr>
            <w:tcW w:w="1220" w:type="dxa"/>
            <w:shd w:val="solid" w:color="FFFFFF" w:fill="auto"/>
            <w:vAlign w:val="center"/>
          </w:tcPr>
          <w:p w14:paraId="3BDBACA1">
            <w:pPr>
              <w:spacing w:line="24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专家打分</w:t>
            </w:r>
          </w:p>
        </w:tc>
        <w:tc>
          <w:tcPr>
            <w:tcW w:w="3897" w:type="dxa"/>
            <w:shd w:val="solid" w:color="FFFFFF" w:fill="auto"/>
            <w:vAlign w:val="top"/>
          </w:tcPr>
          <w:p w14:paraId="637D1C56">
            <w:pPr>
              <w:keepNext w:val="0"/>
              <w:keepLines w:val="0"/>
              <w:pageBreakBefore w:val="0"/>
              <w:widowControl w:val="0"/>
              <w:kinsoku/>
              <w:wordWrap/>
              <w:overflowPunct/>
              <w:topLinePunct w:val="0"/>
              <w:autoSpaceDE/>
              <w:autoSpaceDN/>
              <w:bidi w:val="0"/>
              <w:adjustRightInd/>
              <w:snapToGrid/>
              <w:ind w:left="-78" w:leftChars="-37" w:right="-73" w:rightChars="-35"/>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（一）评分内容：</w:t>
            </w:r>
          </w:p>
          <w:p w14:paraId="06C54EE1">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投标人近3年完成的</w:t>
            </w:r>
            <w:r>
              <w:rPr>
                <w:rFonts w:hint="eastAsia" w:ascii="宋体" w:hAnsi="宋体" w:eastAsia="宋体" w:cs="宋体"/>
                <w:color w:val="000000" w:themeColor="text1"/>
                <w:szCs w:val="21"/>
                <w:highlight w:val="none"/>
                <w:lang w:val="en-US" w:eastAsia="zh-CN"/>
                <w14:textFill>
                  <w14:solidFill>
                    <w14:schemeClr w14:val="tx1"/>
                  </w14:solidFill>
                </w14:textFill>
              </w:rPr>
              <w:t>本项目</w:t>
            </w:r>
            <w:r>
              <w:rPr>
                <w:rFonts w:hint="eastAsia" w:ascii="宋体" w:hAnsi="宋体" w:eastAsia="宋体" w:cs="宋体"/>
                <w:color w:val="000000" w:themeColor="text1"/>
                <w:szCs w:val="21"/>
                <w:highlight w:val="none"/>
                <w14:textFill>
                  <w14:solidFill>
                    <w14:schemeClr w14:val="tx1"/>
                  </w14:solidFill>
                </w14:textFill>
              </w:rPr>
              <w:t>同类</w:t>
            </w:r>
            <w:r>
              <w:rPr>
                <w:rFonts w:hint="eastAsia" w:ascii="宋体" w:hAnsi="宋体" w:eastAsia="宋体" w:cs="宋体"/>
                <w:color w:val="000000" w:themeColor="text1"/>
                <w:szCs w:val="21"/>
                <w:highlight w:val="none"/>
                <w:lang w:val="en-US" w:eastAsia="zh-CN"/>
                <w14:textFill>
                  <w14:solidFill>
                    <w14:schemeClr w14:val="tx1"/>
                  </w14:solidFill>
                </w14:textFill>
              </w:rPr>
              <w:t>型的业绩</w:t>
            </w:r>
            <w:r>
              <w:rPr>
                <w:rFonts w:hint="eastAsia" w:ascii="宋体" w:hAnsi="宋体" w:eastAsia="宋体" w:cs="宋体"/>
                <w:color w:val="000000" w:themeColor="text1"/>
                <w:szCs w:val="21"/>
                <w:highlight w:val="none"/>
                <w14:textFill>
                  <w14:solidFill>
                    <w14:schemeClr w14:val="tx1"/>
                  </w14:solidFill>
                </w14:textFill>
              </w:rPr>
              <w:t>，每提供1个得3分，最高得9分。</w:t>
            </w:r>
          </w:p>
          <w:p w14:paraId="7DE40BCE">
            <w:pPr>
              <w:keepNext w:val="0"/>
              <w:keepLines w:val="0"/>
              <w:pageBreakBefore w:val="0"/>
              <w:widowControl w:val="0"/>
              <w:kinsoku/>
              <w:wordWrap/>
              <w:overflowPunct/>
              <w:topLinePunct w:val="0"/>
              <w:autoSpaceDE/>
              <w:autoSpaceDN/>
              <w:bidi w:val="0"/>
              <w:adjustRightInd/>
              <w:snapToGrid/>
              <w:ind w:left="-78" w:leftChars="-37" w:right="-73" w:rightChars="-35"/>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（二）评分依据：</w:t>
            </w:r>
          </w:p>
          <w:p w14:paraId="74FBFDC8">
            <w:pP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须提供提供中标通知书或合同关键页</w:t>
            </w:r>
            <w:r>
              <w:rPr>
                <w:rFonts w:hint="eastAsia" w:ascii="宋体" w:hAnsi="宋体" w:eastAsia="宋体" w:cs="宋体"/>
                <w:color w:val="000000" w:themeColor="text1"/>
                <w:szCs w:val="21"/>
                <w:highlight w:val="none"/>
                <w:lang w:val="en-US" w:eastAsia="zh-CN"/>
                <w14:textFill>
                  <w14:solidFill>
                    <w14:schemeClr w14:val="tx1"/>
                  </w14:solidFill>
                </w14:textFill>
              </w:rPr>
              <w:t>扫描</w:t>
            </w:r>
            <w:r>
              <w:rPr>
                <w:rFonts w:hint="eastAsia" w:ascii="宋体" w:hAnsi="宋体" w:eastAsia="宋体" w:cs="宋体"/>
                <w:color w:val="000000" w:themeColor="text1"/>
                <w:szCs w:val="21"/>
                <w:highlight w:val="none"/>
                <w14:textFill>
                  <w14:solidFill>
                    <w14:schemeClr w14:val="tx1"/>
                  </w14:solidFill>
                </w14:textFill>
              </w:rPr>
              <w:t>件加盖投标人公章，原件备查，未提供或不能有效证明的不得分。</w:t>
            </w:r>
          </w:p>
        </w:tc>
      </w:tr>
      <w:tr w14:paraId="23035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Pr>
          <w:p w14:paraId="3CCBB270">
            <w:pPr>
              <w:pageBreakBefore w:val="0"/>
              <w:widowControl/>
              <w:numPr>
                <w:ilvl w:val="0"/>
                <w:numId w:val="0"/>
              </w:numPr>
              <w:kinsoku/>
              <w:wordWrap/>
              <w:overflowPunct/>
              <w:topLinePunct w:val="0"/>
              <w:bidi w:val="0"/>
              <w:snapToGrid/>
              <w:spacing w:line="360" w:lineRule="auto"/>
              <w:jc w:val="both"/>
              <w:textAlignment w:val="auto"/>
              <w:rPr>
                <w:rFonts w:hint="eastAsia" w:ascii="宋体" w:hAnsi="宋体" w:cs="宋体"/>
                <w:b/>
                <w:bCs/>
                <w:color w:val="auto"/>
                <w:sz w:val="24"/>
                <w:szCs w:val="24"/>
                <w:vertAlign w:val="baseline"/>
                <w:lang w:val="en-US" w:eastAsia="zh-CN"/>
              </w:rPr>
            </w:pPr>
          </w:p>
        </w:tc>
        <w:tc>
          <w:tcPr>
            <w:tcW w:w="738" w:type="dxa"/>
            <w:vAlign w:val="center"/>
          </w:tcPr>
          <w:p w14:paraId="63DD089D">
            <w:pPr>
              <w:spacing w:line="240" w:lineRule="auto"/>
              <w:jc w:val="center"/>
              <w:rPr>
                <w:rFonts w:hint="default" w:ascii="宋体" w:hAnsi="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p>
        </w:tc>
        <w:tc>
          <w:tcPr>
            <w:tcW w:w="1898" w:type="dxa"/>
            <w:shd w:val="solid" w:color="FFFFFF" w:fill="auto"/>
            <w:vAlign w:val="center"/>
          </w:tcPr>
          <w:p w14:paraId="464DEDFD">
            <w:pPr>
              <w:jc w:val="center"/>
              <w:rPr>
                <w:rFonts w:hint="eastAsia" w:ascii="宋体" w:hAnsi="宋体" w:eastAsia="宋体" w:cs="Calibri"/>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企业诚信</w:t>
            </w:r>
          </w:p>
        </w:tc>
        <w:tc>
          <w:tcPr>
            <w:tcW w:w="669" w:type="dxa"/>
            <w:shd w:val="solid" w:color="FFFFFF" w:fill="auto"/>
            <w:vAlign w:val="center"/>
          </w:tcPr>
          <w:p w14:paraId="1C39A633">
            <w:pPr>
              <w:jc w:val="center"/>
              <w:rPr>
                <w:rFonts w:hint="eastAsia" w:ascii="宋体" w:hAnsi="宋体" w:eastAsia="宋体" w:cs="Calibri"/>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p>
        </w:tc>
        <w:tc>
          <w:tcPr>
            <w:tcW w:w="1220" w:type="dxa"/>
            <w:shd w:val="solid" w:color="FFFFFF" w:fill="auto"/>
            <w:vAlign w:val="center"/>
          </w:tcPr>
          <w:p w14:paraId="5E057BC9">
            <w:pPr>
              <w:jc w:val="center"/>
              <w:rPr>
                <w:rFonts w:hint="eastAsia" w:ascii="宋体" w:hAnsi="宋体" w:eastAsia="宋体" w:cs="Calibri"/>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专家打分</w:t>
            </w:r>
          </w:p>
        </w:tc>
        <w:tc>
          <w:tcPr>
            <w:tcW w:w="3897" w:type="dxa"/>
            <w:shd w:val="solid" w:color="FFFFFF" w:fill="auto"/>
            <w:vAlign w:val="center"/>
          </w:tcPr>
          <w:p w14:paraId="52115F0F">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（一）评分内容：</w:t>
            </w:r>
          </w:p>
          <w:p w14:paraId="18DB0A52">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14:paraId="0EA3ED7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（二）评分依据：</w:t>
            </w:r>
          </w:p>
          <w:p w14:paraId="6C948CBF">
            <w:pPr>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1、投标人提供企业诚信声明与承诺加盖公章；</w:t>
            </w:r>
          </w:p>
          <w:p w14:paraId="584125A0">
            <w:pPr>
              <w:rPr>
                <w:rFonts w:hint="eastAsia" w:ascii="宋体" w:hAnsi="宋体" w:eastAsia="宋体" w:cs="Calibri"/>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通过信用信息查询渠道，包括“信用中国”（www.creditchina.gov.cn）、“中国政府采购网”（www.ccgp.gov.cn）、“深圳市政府采购监管网”（http://zfcg.sz.gov.cn）以及市、区财政部门认定的其他渠道查询供应商信用信息。</w:t>
            </w:r>
          </w:p>
        </w:tc>
      </w:tr>
    </w:tbl>
    <w:p w14:paraId="09BBEDF6">
      <w:pPr>
        <w:pageBreakBefore w:val="0"/>
        <w:widowControl/>
        <w:numPr>
          <w:ilvl w:val="0"/>
          <w:numId w:val="0"/>
        </w:numPr>
        <w:kinsoku/>
        <w:wordWrap/>
        <w:overflowPunct/>
        <w:topLinePunct w:val="0"/>
        <w:bidi w:val="0"/>
        <w:snapToGrid/>
        <w:spacing w:line="360" w:lineRule="auto"/>
        <w:ind w:leftChars="0"/>
        <w:jc w:val="both"/>
        <w:textAlignment w:val="auto"/>
        <w:rPr>
          <w:rFonts w:hint="eastAsia" w:ascii="宋体" w:hAnsi="宋体" w:cs="宋体"/>
          <w:b/>
          <w:bCs/>
          <w:color w:val="auto"/>
          <w:sz w:val="24"/>
          <w:szCs w:val="24"/>
          <w:lang w:val="en-US" w:eastAsia="zh-CN"/>
        </w:rPr>
      </w:pPr>
    </w:p>
    <w:p w14:paraId="528AE34F">
      <w:pPr>
        <w:pStyle w:val="21"/>
        <w:ind w:left="0" w:leftChars="0" w:firstLine="0" w:firstLineChars="0"/>
        <w:jc w:val="left"/>
        <w:rPr>
          <w:rFonts w:hint="eastAsia" w:ascii="宋体" w:hAnsi="宋体" w:eastAsia="宋体" w:cs="宋体"/>
          <w:color w:val="auto"/>
          <w:kern w:val="0"/>
          <w:sz w:val="24"/>
          <w:szCs w:val="24"/>
          <w:lang w:val="en-US" w:eastAsia="zh-CN"/>
        </w:rPr>
      </w:pPr>
    </w:p>
    <w:p w14:paraId="12B0B722">
      <w:pPr>
        <w:pStyle w:val="21"/>
        <w:ind w:left="0" w:leftChars="0" w:firstLine="0" w:firstLineChars="0"/>
        <w:jc w:val="left"/>
        <w:rPr>
          <w:rFonts w:hint="eastAsia" w:ascii="宋体" w:hAnsi="宋体" w:eastAsia="宋体" w:cs="宋体"/>
          <w:color w:val="auto"/>
          <w:kern w:val="0"/>
          <w:sz w:val="24"/>
          <w:szCs w:val="24"/>
          <w:lang w:val="en-US" w:eastAsia="zh-CN"/>
        </w:rPr>
      </w:pPr>
    </w:p>
    <w:p w14:paraId="4FD9152B">
      <w:pPr>
        <w:pStyle w:val="21"/>
        <w:ind w:left="0" w:leftChars="0" w:firstLine="0" w:firstLineChars="0"/>
        <w:jc w:val="left"/>
        <w:rPr>
          <w:rFonts w:hint="eastAsia" w:ascii="宋体" w:hAnsi="宋体" w:eastAsia="宋体" w:cs="宋体"/>
          <w:color w:val="auto"/>
          <w:kern w:val="0"/>
          <w:sz w:val="24"/>
          <w:szCs w:val="24"/>
          <w:lang w:val="en-US" w:eastAsia="zh-CN"/>
        </w:rPr>
      </w:pPr>
    </w:p>
    <w:p w14:paraId="4346BB7F">
      <w:pPr>
        <w:pStyle w:val="21"/>
        <w:ind w:left="0" w:leftChars="0" w:firstLine="0" w:firstLineChars="0"/>
        <w:jc w:val="left"/>
        <w:rPr>
          <w:rFonts w:hint="eastAsia" w:ascii="宋体" w:hAnsi="宋体" w:eastAsia="宋体" w:cs="宋体"/>
          <w:color w:val="auto"/>
          <w:kern w:val="0"/>
          <w:sz w:val="24"/>
          <w:szCs w:val="24"/>
          <w:lang w:val="en-US" w:eastAsia="zh-CN"/>
        </w:rPr>
      </w:pPr>
    </w:p>
    <w:p w14:paraId="49883D48">
      <w:pPr>
        <w:pStyle w:val="21"/>
        <w:ind w:left="0" w:leftChars="0" w:firstLine="0" w:firstLineChars="0"/>
        <w:jc w:val="left"/>
        <w:rPr>
          <w:rFonts w:hint="eastAsia" w:ascii="宋体" w:hAnsi="宋体" w:eastAsia="宋体" w:cs="宋体"/>
          <w:color w:val="auto"/>
          <w:kern w:val="0"/>
          <w:sz w:val="24"/>
          <w:szCs w:val="24"/>
          <w:lang w:val="en-US" w:eastAsia="zh-CN"/>
        </w:rPr>
      </w:pPr>
    </w:p>
    <w:p w14:paraId="12492160">
      <w:pPr>
        <w:pStyle w:val="21"/>
        <w:ind w:left="0" w:leftChars="0" w:firstLine="0" w:firstLineChars="0"/>
        <w:jc w:val="left"/>
        <w:rPr>
          <w:rFonts w:hint="eastAsia" w:ascii="宋体" w:hAnsi="宋体" w:eastAsia="宋体" w:cs="宋体"/>
          <w:color w:val="auto"/>
          <w:kern w:val="0"/>
          <w:sz w:val="24"/>
          <w:szCs w:val="24"/>
          <w:lang w:val="en-US" w:eastAsia="zh-CN"/>
        </w:rPr>
      </w:pPr>
    </w:p>
    <w:p w14:paraId="4F6FA385">
      <w:pPr>
        <w:pStyle w:val="21"/>
        <w:ind w:left="0" w:leftChars="0" w:firstLine="0" w:firstLineChars="0"/>
        <w:jc w:val="left"/>
        <w:rPr>
          <w:rFonts w:hint="eastAsia" w:ascii="宋体" w:hAnsi="宋体" w:eastAsia="宋体" w:cs="宋体"/>
          <w:color w:val="auto"/>
          <w:kern w:val="0"/>
          <w:sz w:val="24"/>
          <w:szCs w:val="24"/>
          <w:lang w:val="en-US" w:eastAsia="zh-CN"/>
        </w:rPr>
      </w:pPr>
    </w:p>
    <w:p w14:paraId="3C5A91CB">
      <w:pPr>
        <w:pStyle w:val="21"/>
        <w:ind w:left="0" w:leftChars="0" w:firstLine="0" w:firstLineChars="0"/>
        <w:jc w:val="left"/>
        <w:rPr>
          <w:rFonts w:hint="eastAsia" w:ascii="宋体" w:hAnsi="宋体" w:eastAsia="宋体" w:cs="宋体"/>
          <w:color w:val="auto"/>
          <w:kern w:val="0"/>
          <w:sz w:val="24"/>
          <w:szCs w:val="24"/>
          <w:lang w:val="en-US" w:eastAsia="zh-CN"/>
        </w:rPr>
      </w:pPr>
    </w:p>
    <w:p w14:paraId="54859B38">
      <w:pPr>
        <w:pStyle w:val="4"/>
        <w:numPr>
          <w:ilvl w:val="0"/>
          <w:numId w:val="5"/>
        </w:numPr>
        <w:spacing w:line="360" w:lineRule="auto"/>
        <w:rPr>
          <w:rFonts w:hint="eastAsia" w:ascii="宋体" w:hAnsi="宋体" w:eastAsia="宋体" w:cs="宋体"/>
          <w:b/>
          <w:bCs/>
          <w:color w:val="auto"/>
          <w:sz w:val="36"/>
          <w:szCs w:val="36"/>
          <w:lang w:val="en-US" w:eastAsia="zh-CN"/>
        </w:rPr>
      </w:pPr>
      <w:r>
        <w:rPr>
          <w:rFonts w:hint="eastAsia" w:ascii="宋体" w:hAnsi="宋体" w:cs="宋体"/>
          <w:b/>
          <w:bCs/>
          <w:color w:val="auto"/>
          <w:sz w:val="36"/>
          <w:szCs w:val="36"/>
          <w:lang w:val="en-US" w:eastAsia="zh-CN"/>
        </w:rPr>
        <w:t>供货需求一览表</w:t>
      </w:r>
    </w:p>
    <w:tbl>
      <w:tblPr>
        <w:tblStyle w:val="16"/>
        <w:tblW w:w="0" w:type="auto"/>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412"/>
        <w:gridCol w:w="1450"/>
        <w:gridCol w:w="1275"/>
        <w:gridCol w:w="1913"/>
        <w:gridCol w:w="1675"/>
      </w:tblGrid>
      <w:tr w14:paraId="1D2A6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14:paraId="73FF71AC">
            <w:pPr>
              <w:spacing w:line="36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1412" w:type="dxa"/>
          </w:tcPr>
          <w:p w14:paraId="003EBEA1">
            <w:pPr>
              <w:spacing w:line="36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名称</w:t>
            </w:r>
          </w:p>
        </w:tc>
        <w:tc>
          <w:tcPr>
            <w:tcW w:w="1450" w:type="dxa"/>
          </w:tcPr>
          <w:p w14:paraId="0D2BA5BE">
            <w:pPr>
              <w:spacing w:line="36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数量</w:t>
            </w:r>
          </w:p>
        </w:tc>
        <w:tc>
          <w:tcPr>
            <w:tcW w:w="1275" w:type="dxa"/>
          </w:tcPr>
          <w:p w14:paraId="25AFCE40">
            <w:pPr>
              <w:spacing w:line="36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单位</w:t>
            </w:r>
          </w:p>
        </w:tc>
        <w:tc>
          <w:tcPr>
            <w:tcW w:w="1913" w:type="dxa"/>
          </w:tcPr>
          <w:p w14:paraId="625CA664">
            <w:pPr>
              <w:spacing w:line="36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是否核心产品</w:t>
            </w:r>
          </w:p>
        </w:tc>
        <w:tc>
          <w:tcPr>
            <w:tcW w:w="1675" w:type="dxa"/>
          </w:tcPr>
          <w:p w14:paraId="4B3BAF27">
            <w:pPr>
              <w:spacing w:line="360" w:lineRule="auto"/>
              <w:jc w:val="center"/>
              <w:rPr>
                <w:rFonts w:hint="default"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备注</w:t>
            </w:r>
          </w:p>
        </w:tc>
      </w:tr>
      <w:tr w14:paraId="7953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54B263C3">
            <w:pPr>
              <w:pStyle w:val="34"/>
              <w:spacing w:before="43"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1</w:t>
            </w:r>
          </w:p>
        </w:tc>
        <w:tc>
          <w:tcPr>
            <w:tcW w:w="1412" w:type="dxa"/>
            <w:vAlign w:val="center"/>
          </w:tcPr>
          <w:p w14:paraId="64E90F4A">
            <w:pPr>
              <w:pStyle w:val="34"/>
              <w:spacing w:before="43"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饮水机</w:t>
            </w:r>
          </w:p>
        </w:tc>
        <w:tc>
          <w:tcPr>
            <w:tcW w:w="1450" w:type="dxa"/>
          </w:tcPr>
          <w:p w14:paraId="2F6B03EB">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275" w:type="dxa"/>
          </w:tcPr>
          <w:p w14:paraId="0C5A2EEF">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台</w:t>
            </w:r>
          </w:p>
        </w:tc>
        <w:tc>
          <w:tcPr>
            <w:tcW w:w="1913" w:type="dxa"/>
          </w:tcPr>
          <w:p w14:paraId="3B7976F0">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w:t>
            </w:r>
          </w:p>
        </w:tc>
        <w:tc>
          <w:tcPr>
            <w:tcW w:w="1675" w:type="dxa"/>
          </w:tcPr>
          <w:p w14:paraId="2FA8EF6E">
            <w:pPr>
              <w:spacing w:line="360" w:lineRule="auto"/>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含辅材及安装</w:t>
            </w:r>
          </w:p>
        </w:tc>
      </w:tr>
    </w:tbl>
    <w:p w14:paraId="478AB099">
      <w:pPr>
        <w:rPr>
          <w:rFonts w:hint="eastAsia"/>
          <w:lang w:val="en-US" w:eastAsia="zh-CN"/>
        </w:rPr>
      </w:pPr>
    </w:p>
    <w:p w14:paraId="150630F3">
      <w:pPr>
        <w:pStyle w:val="21"/>
        <w:ind w:left="0" w:leftChars="0" w:firstLine="0" w:firstLineChars="0"/>
        <w:jc w:val="left"/>
        <w:rPr>
          <w:rFonts w:hint="default" w:ascii="宋体" w:hAnsi="宋体" w:eastAsia="宋体" w:cs="宋体"/>
          <w:color w:val="auto"/>
          <w:kern w:val="0"/>
          <w:sz w:val="24"/>
          <w:szCs w:val="24"/>
          <w:lang w:val="en-US" w:eastAsia="zh-CN"/>
        </w:rPr>
      </w:pPr>
    </w:p>
    <w:p w14:paraId="6DEC42BB">
      <w:pPr>
        <w:pStyle w:val="21"/>
        <w:ind w:left="0" w:leftChars="0" w:firstLine="0" w:firstLineChars="0"/>
        <w:jc w:val="left"/>
        <w:rPr>
          <w:rFonts w:hint="default" w:ascii="宋体" w:hAnsi="宋体" w:eastAsia="宋体" w:cs="宋体"/>
          <w:color w:val="auto"/>
          <w:kern w:val="0"/>
          <w:sz w:val="24"/>
          <w:szCs w:val="24"/>
          <w:lang w:val="en-US" w:eastAsia="zh-CN"/>
        </w:rPr>
      </w:pPr>
    </w:p>
    <w:p w14:paraId="455BC819">
      <w:pPr>
        <w:pStyle w:val="21"/>
        <w:ind w:left="0" w:leftChars="0" w:firstLine="0" w:firstLineChars="0"/>
        <w:jc w:val="left"/>
        <w:rPr>
          <w:rFonts w:hint="default" w:ascii="宋体" w:hAnsi="宋体" w:eastAsia="宋体" w:cs="宋体"/>
          <w:color w:val="auto"/>
          <w:kern w:val="0"/>
          <w:sz w:val="24"/>
          <w:szCs w:val="24"/>
          <w:lang w:val="en-US" w:eastAsia="zh-CN"/>
        </w:rPr>
      </w:pPr>
    </w:p>
    <w:p w14:paraId="2D12A9CB">
      <w:pPr>
        <w:pStyle w:val="21"/>
        <w:ind w:left="0" w:leftChars="0" w:firstLine="0" w:firstLineChars="0"/>
        <w:jc w:val="left"/>
        <w:rPr>
          <w:rFonts w:hint="default" w:ascii="宋体" w:hAnsi="宋体" w:eastAsia="宋体" w:cs="宋体"/>
          <w:color w:val="auto"/>
          <w:kern w:val="0"/>
          <w:sz w:val="24"/>
          <w:szCs w:val="24"/>
          <w:lang w:val="en-US" w:eastAsia="zh-CN"/>
        </w:rPr>
      </w:pPr>
    </w:p>
    <w:p w14:paraId="4F92E393">
      <w:pPr>
        <w:pStyle w:val="4"/>
        <w:numPr>
          <w:ilvl w:val="0"/>
          <w:numId w:val="5"/>
        </w:numPr>
        <w:spacing w:line="360" w:lineRule="auto"/>
        <w:rPr>
          <w:rFonts w:hint="eastAsia" w:ascii="宋体" w:hAnsi="宋体" w:eastAsia="宋体" w:cs="宋体"/>
          <w:b/>
          <w:bCs/>
          <w:color w:val="auto"/>
          <w:sz w:val="36"/>
          <w:szCs w:val="36"/>
          <w:lang w:val="en-US" w:eastAsia="zh-CN"/>
        </w:rPr>
      </w:pPr>
      <w:r>
        <w:rPr>
          <w:rFonts w:hint="eastAsia" w:ascii="宋体" w:hAnsi="宋体" w:cs="宋体"/>
          <w:b/>
          <w:bCs/>
          <w:color w:val="auto"/>
          <w:sz w:val="36"/>
          <w:szCs w:val="36"/>
          <w:lang w:val="en-US" w:eastAsia="zh-CN"/>
        </w:rPr>
        <w:t>用户需求书</w:t>
      </w:r>
    </w:p>
    <w:p w14:paraId="18DD119C">
      <w:pPr>
        <w:numPr>
          <w:ilvl w:val="0"/>
          <w:numId w:val="9"/>
        </w:numPr>
        <w:rPr>
          <w:rFonts w:hint="eastAsia"/>
          <w:b/>
          <w:bCs/>
          <w:sz w:val="32"/>
          <w:szCs w:val="32"/>
          <w:lang w:val="en-US" w:eastAsia="zh-CN"/>
        </w:rPr>
      </w:pPr>
      <w:r>
        <w:rPr>
          <w:rFonts w:hint="eastAsia"/>
          <w:b/>
          <w:bCs/>
          <w:sz w:val="32"/>
          <w:szCs w:val="32"/>
          <w:lang w:val="en-US" w:eastAsia="zh-CN"/>
        </w:rPr>
        <w:t>总则</w:t>
      </w:r>
    </w:p>
    <w:p w14:paraId="2F18749B">
      <w:pPr>
        <w:pStyle w:val="2"/>
        <w:numPr>
          <w:ilvl w:val="0"/>
          <w:numId w:val="0"/>
        </w:numPr>
        <w:ind w:firstLine="420" w:firstLineChars="0"/>
        <w:rPr>
          <w:rFonts w:hint="eastAsia"/>
          <w:b w:val="0"/>
          <w:bCs w:val="0"/>
          <w:sz w:val="21"/>
          <w:szCs w:val="21"/>
          <w:lang w:val="en-US" w:eastAsia="zh-CN"/>
        </w:rPr>
      </w:pPr>
      <w:r>
        <w:rPr>
          <w:rFonts w:hint="eastAsia"/>
          <w:b w:val="0"/>
          <w:bCs w:val="0"/>
          <w:sz w:val="21"/>
          <w:szCs w:val="21"/>
          <w:lang w:val="en-US" w:eastAsia="zh-CN"/>
        </w:rPr>
        <w:t>投标者须仔细阅读本标书的全部条款，特别是本篇用户需求书的所有内容</w:t>
      </w:r>
    </w:p>
    <w:p w14:paraId="6D31017D">
      <w:pPr>
        <w:pStyle w:val="3"/>
        <w:numPr>
          <w:ilvl w:val="0"/>
          <w:numId w:val="9"/>
        </w:numPr>
        <w:ind w:left="0" w:leftChars="0" w:firstLine="0" w:firstLineChars="0"/>
        <w:rPr>
          <w:rFonts w:hint="eastAsia"/>
          <w:b/>
          <w:bCs/>
          <w:sz w:val="32"/>
          <w:szCs w:val="32"/>
          <w:lang w:val="en-US" w:eastAsia="zh-CN"/>
        </w:rPr>
      </w:pPr>
      <w:r>
        <w:rPr>
          <w:rFonts w:hint="eastAsia"/>
          <w:b/>
          <w:bCs/>
          <w:sz w:val="32"/>
          <w:szCs w:val="32"/>
          <w:lang w:val="en-US" w:eastAsia="zh-CN"/>
        </w:rPr>
        <w:t>技术要求</w:t>
      </w:r>
    </w:p>
    <w:p w14:paraId="78143123">
      <w:pPr>
        <w:pStyle w:val="2"/>
        <w:numPr>
          <w:ilvl w:val="0"/>
          <w:numId w:val="0"/>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2.1 </w:t>
      </w:r>
      <w:r>
        <w:rPr>
          <w:rFonts w:hint="eastAsia" w:ascii="宋体" w:hAnsi="宋体" w:cs="宋体"/>
          <w:b/>
          <w:bCs/>
          <w:color w:val="FF0000"/>
          <w:szCs w:val="21"/>
          <w:highlight w:val="none"/>
          <w:lang w:val="zh-CN"/>
        </w:rPr>
        <w:t>★</w:t>
      </w:r>
      <w:r>
        <w:rPr>
          <w:rFonts w:hint="eastAsia" w:ascii="宋体" w:hAnsi="宋体" w:eastAsia="宋体" w:cs="宋体"/>
          <w:sz w:val="24"/>
          <w:szCs w:val="24"/>
          <w:lang w:val="en-US" w:eastAsia="zh-CN"/>
        </w:rPr>
        <w:t>配置清单</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2689"/>
        <w:gridCol w:w="1790"/>
        <w:gridCol w:w="1790"/>
        <w:gridCol w:w="1790"/>
      </w:tblGrid>
      <w:tr w14:paraId="6D40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top"/>
          </w:tcPr>
          <w:p w14:paraId="223103E4">
            <w:pPr>
              <w:spacing w:line="360" w:lineRule="auto"/>
              <w:jc w:val="center"/>
              <w:rPr>
                <w:rFonts w:hint="default"/>
                <w:vertAlign w:val="baseline"/>
                <w:lang w:val="en-US" w:eastAsia="zh-CN"/>
              </w:rPr>
            </w:pPr>
            <w:r>
              <w:rPr>
                <w:rFonts w:hint="eastAsia"/>
                <w:b/>
                <w:bCs/>
                <w:vertAlign w:val="baseline"/>
                <w:lang w:val="en-US" w:eastAsia="zh-CN"/>
              </w:rPr>
              <w:t>序号</w:t>
            </w:r>
          </w:p>
        </w:tc>
        <w:tc>
          <w:tcPr>
            <w:tcW w:w="2689" w:type="dxa"/>
            <w:vAlign w:val="top"/>
          </w:tcPr>
          <w:p w14:paraId="0506EC4C">
            <w:pPr>
              <w:spacing w:line="360" w:lineRule="auto"/>
              <w:jc w:val="center"/>
              <w:rPr>
                <w:rFonts w:hint="default"/>
                <w:vertAlign w:val="baseline"/>
                <w:lang w:val="en-US" w:eastAsia="zh-CN"/>
              </w:rPr>
            </w:pPr>
            <w:r>
              <w:rPr>
                <w:rFonts w:hint="eastAsia"/>
                <w:b/>
                <w:bCs/>
                <w:vertAlign w:val="baseline"/>
                <w:lang w:val="en-US" w:eastAsia="zh-CN"/>
              </w:rPr>
              <w:t>名称</w:t>
            </w:r>
          </w:p>
        </w:tc>
        <w:tc>
          <w:tcPr>
            <w:tcW w:w="1790" w:type="dxa"/>
            <w:vAlign w:val="top"/>
          </w:tcPr>
          <w:p w14:paraId="0A7B9B34">
            <w:pPr>
              <w:spacing w:line="360" w:lineRule="auto"/>
              <w:jc w:val="center"/>
              <w:rPr>
                <w:rFonts w:hint="default"/>
                <w:vertAlign w:val="baseline"/>
                <w:lang w:val="en-US" w:eastAsia="zh-CN"/>
              </w:rPr>
            </w:pPr>
            <w:r>
              <w:rPr>
                <w:rFonts w:hint="eastAsia"/>
                <w:b/>
                <w:bCs/>
                <w:vertAlign w:val="baseline"/>
                <w:lang w:val="en-US" w:eastAsia="zh-CN"/>
              </w:rPr>
              <w:t>数量</w:t>
            </w:r>
          </w:p>
        </w:tc>
        <w:tc>
          <w:tcPr>
            <w:tcW w:w="1790" w:type="dxa"/>
            <w:vAlign w:val="top"/>
          </w:tcPr>
          <w:p w14:paraId="374AC9C9">
            <w:pPr>
              <w:spacing w:line="360" w:lineRule="auto"/>
              <w:jc w:val="center"/>
              <w:rPr>
                <w:rFonts w:hint="default"/>
                <w:vertAlign w:val="baseline"/>
                <w:lang w:val="en-US" w:eastAsia="zh-CN"/>
              </w:rPr>
            </w:pPr>
            <w:r>
              <w:rPr>
                <w:rFonts w:hint="eastAsia"/>
                <w:b/>
                <w:bCs/>
                <w:vertAlign w:val="baseline"/>
                <w:lang w:val="en-US" w:eastAsia="zh-CN"/>
              </w:rPr>
              <w:t>单位</w:t>
            </w:r>
          </w:p>
        </w:tc>
        <w:tc>
          <w:tcPr>
            <w:tcW w:w="1790" w:type="dxa"/>
            <w:vAlign w:val="top"/>
          </w:tcPr>
          <w:p w14:paraId="64675056">
            <w:pPr>
              <w:spacing w:line="360" w:lineRule="auto"/>
              <w:jc w:val="center"/>
              <w:rPr>
                <w:rFonts w:hint="default"/>
                <w:vertAlign w:val="baseline"/>
                <w:lang w:val="en-US" w:eastAsia="zh-CN"/>
              </w:rPr>
            </w:pPr>
            <w:r>
              <w:rPr>
                <w:rFonts w:hint="eastAsia"/>
                <w:b/>
                <w:bCs/>
                <w:vertAlign w:val="baseline"/>
                <w:lang w:val="en-US" w:eastAsia="zh-CN"/>
              </w:rPr>
              <w:t>单价最高限价</w:t>
            </w:r>
          </w:p>
        </w:tc>
      </w:tr>
      <w:tr w14:paraId="776E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4854855">
            <w:pPr>
              <w:pStyle w:val="34"/>
              <w:spacing w:before="43" w:line="360" w:lineRule="auto"/>
              <w:jc w:val="center"/>
              <w:rPr>
                <w:rFonts w:hint="default"/>
                <w:vertAlign w:val="baseline"/>
                <w:lang w:val="en-US" w:eastAsia="zh-CN"/>
              </w:rPr>
            </w:pPr>
            <w:r>
              <w:rPr>
                <w:rFonts w:hint="eastAsia"/>
                <w:sz w:val="21"/>
                <w:szCs w:val="21"/>
                <w:lang w:val="en-US" w:eastAsia="zh-CN"/>
              </w:rPr>
              <w:t>1</w:t>
            </w:r>
          </w:p>
        </w:tc>
        <w:tc>
          <w:tcPr>
            <w:tcW w:w="2689" w:type="dxa"/>
            <w:vAlign w:val="center"/>
          </w:tcPr>
          <w:p w14:paraId="22B58864">
            <w:pPr>
              <w:pStyle w:val="34"/>
              <w:spacing w:before="43" w:line="360" w:lineRule="auto"/>
              <w:jc w:val="center"/>
              <w:rPr>
                <w:rFonts w:hint="default"/>
                <w:vertAlign w:val="baseline"/>
                <w:lang w:val="en-US" w:eastAsia="zh-CN"/>
              </w:rPr>
            </w:pPr>
            <w:r>
              <w:rPr>
                <w:rFonts w:hint="eastAsia"/>
                <w:sz w:val="21"/>
                <w:szCs w:val="21"/>
                <w:lang w:val="en-US" w:eastAsia="zh-CN"/>
              </w:rPr>
              <w:t>饮水机</w:t>
            </w:r>
          </w:p>
        </w:tc>
        <w:tc>
          <w:tcPr>
            <w:tcW w:w="1790" w:type="dxa"/>
            <w:vAlign w:val="top"/>
          </w:tcPr>
          <w:p w14:paraId="241D5C4B">
            <w:pPr>
              <w:spacing w:line="360" w:lineRule="auto"/>
              <w:jc w:val="center"/>
              <w:rPr>
                <w:rFonts w:hint="default"/>
                <w:vertAlign w:val="baseline"/>
                <w:lang w:val="en-US" w:eastAsia="zh-CN"/>
              </w:rPr>
            </w:pPr>
            <w:r>
              <w:rPr>
                <w:rFonts w:hint="eastAsia"/>
                <w:vertAlign w:val="baseline"/>
                <w:lang w:val="en-US" w:eastAsia="zh-CN"/>
              </w:rPr>
              <w:t>1</w:t>
            </w:r>
          </w:p>
        </w:tc>
        <w:tc>
          <w:tcPr>
            <w:tcW w:w="1790" w:type="dxa"/>
            <w:vAlign w:val="top"/>
          </w:tcPr>
          <w:p w14:paraId="49FCBEAA">
            <w:pPr>
              <w:spacing w:line="360" w:lineRule="auto"/>
              <w:jc w:val="center"/>
              <w:rPr>
                <w:rFonts w:hint="default"/>
                <w:vertAlign w:val="baseline"/>
                <w:lang w:val="en-US" w:eastAsia="zh-CN"/>
              </w:rPr>
            </w:pPr>
            <w:r>
              <w:rPr>
                <w:rFonts w:hint="eastAsia"/>
                <w:vertAlign w:val="baseline"/>
                <w:lang w:val="en-US" w:eastAsia="zh-CN"/>
              </w:rPr>
              <w:t>台</w:t>
            </w:r>
          </w:p>
        </w:tc>
        <w:tc>
          <w:tcPr>
            <w:tcW w:w="1790" w:type="dxa"/>
            <w:vAlign w:val="center"/>
          </w:tcPr>
          <w:p w14:paraId="240F771E">
            <w:pPr>
              <w:pStyle w:val="34"/>
              <w:spacing w:before="43" w:line="360" w:lineRule="auto"/>
              <w:jc w:val="center"/>
              <w:rPr>
                <w:rFonts w:hint="default"/>
                <w:sz w:val="21"/>
                <w:szCs w:val="21"/>
                <w:vertAlign w:val="baseline"/>
                <w:lang w:val="en-US" w:eastAsia="zh-CN"/>
              </w:rPr>
            </w:pPr>
            <w:r>
              <w:rPr>
                <w:rFonts w:hint="eastAsia"/>
                <w:sz w:val="21"/>
                <w:szCs w:val="21"/>
                <w:vertAlign w:val="baseline"/>
                <w:lang w:val="en-US" w:eastAsia="zh-CN"/>
              </w:rPr>
              <w:t>23000</w:t>
            </w:r>
          </w:p>
        </w:tc>
      </w:tr>
    </w:tbl>
    <w:p w14:paraId="5796CFA7">
      <w:pPr>
        <w:pStyle w:val="3"/>
        <w:rPr>
          <w:rFonts w:hint="default"/>
          <w:lang w:val="en-US" w:eastAsia="zh-CN"/>
        </w:rPr>
      </w:pPr>
    </w:p>
    <w:p w14:paraId="7F4BEF27">
      <w:pPr>
        <w:pStyle w:val="3"/>
        <w:rPr>
          <w:rFonts w:hint="default"/>
          <w:lang w:val="en-US" w:eastAsia="zh-CN"/>
        </w:rPr>
      </w:pPr>
    </w:p>
    <w:p w14:paraId="0E519C7C">
      <w:pPr>
        <w:pStyle w:val="3"/>
        <w:rPr>
          <w:rFonts w:hint="default"/>
          <w:lang w:val="en-US" w:eastAsia="zh-CN"/>
        </w:rPr>
      </w:pPr>
    </w:p>
    <w:p w14:paraId="32809FF1">
      <w:pPr>
        <w:pStyle w:val="3"/>
        <w:rPr>
          <w:rFonts w:hint="default"/>
          <w:lang w:val="en-US" w:eastAsia="zh-CN"/>
        </w:rPr>
      </w:pPr>
    </w:p>
    <w:p w14:paraId="5E51946C">
      <w:pPr>
        <w:pStyle w:val="3"/>
        <w:rPr>
          <w:rFonts w:hint="default"/>
          <w:lang w:val="en-US" w:eastAsia="zh-CN"/>
        </w:rPr>
      </w:pPr>
    </w:p>
    <w:p w14:paraId="304D15B4">
      <w:pPr>
        <w:pStyle w:val="3"/>
        <w:rPr>
          <w:rFonts w:hint="default"/>
          <w:lang w:val="en-US" w:eastAsia="zh-CN"/>
        </w:rPr>
      </w:pPr>
    </w:p>
    <w:p w14:paraId="0B70C3DF">
      <w:pPr>
        <w:pStyle w:val="3"/>
        <w:rPr>
          <w:rFonts w:hint="default"/>
          <w:lang w:val="en-US" w:eastAsia="zh-CN"/>
        </w:rPr>
      </w:pPr>
    </w:p>
    <w:p w14:paraId="4312663F">
      <w:pPr>
        <w:pStyle w:val="3"/>
        <w:rPr>
          <w:rFonts w:hint="default"/>
          <w:lang w:val="en-US" w:eastAsia="zh-CN"/>
        </w:rPr>
      </w:pPr>
    </w:p>
    <w:p w14:paraId="65FC3352">
      <w:pPr>
        <w:pStyle w:val="3"/>
        <w:rPr>
          <w:rFonts w:hint="default"/>
          <w:lang w:val="en-US" w:eastAsia="zh-CN"/>
        </w:rPr>
      </w:pPr>
    </w:p>
    <w:p w14:paraId="0B5C5FA6">
      <w:pPr>
        <w:pStyle w:val="3"/>
        <w:rPr>
          <w:rFonts w:hint="default"/>
          <w:lang w:val="en-US" w:eastAsia="zh-CN"/>
        </w:rPr>
      </w:pPr>
    </w:p>
    <w:p w14:paraId="3F1F0C14">
      <w:pPr>
        <w:pStyle w:val="3"/>
        <w:rPr>
          <w:rFonts w:hint="default"/>
          <w:lang w:val="en-US" w:eastAsia="zh-CN"/>
        </w:rPr>
      </w:pPr>
    </w:p>
    <w:p w14:paraId="32A728DF">
      <w:pPr>
        <w:pStyle w:val="3"/>
        <w:rPr>
          <w:rFonts w:hint="default"/>
          <w:lang w:val="en-US" w:eastAsia="zh-CN"/>
        </w:rPr>
      </w:pPr>
    </w:p>
    <w:p w14:paraId="2B0503CD">
      <w:pPr>
        <w:pStyle w:val="3"/>
        <w:rPr>
          <w:rFonts w:hint="default"/>
          <w:lang w:val="en-US" w:eastAsia="zh-CN"/>
        </w:rPr>
      </w:pPr>
    </w:p>
    <w:p w14:paraId="047824C9">
      <w:pPr>
        <w:pStyle w:val="3"/>
        <w:rPr>
          <w:rFonts w:hint="default"/>
          <w:lang w:val="en-US" w:eastAsia="zh-CN"/>
        </w:rPr>
      </w:pPr>
    </w:p>
    <w:p w14:paraId="0F81BAA2">
      <w:pPr>
        <w:pStyle w:val="3"/>
        <w:rPr>
          <w:rFonts w:hint="default"/>
          <w:lang w:val="en-US" w:eastAsia="zh-CN"/>
        </w:rPr>
      </w:pPr>
    </w:p>
    <w:p w14:paraId="2478D7A1">
      <w:pPr>
        <w:pStyle w:val="3"/>
        <w:rPr>
          <w:rFonts w:hint="default"/>
          <w:lang w:val="en-US" w:eastAsia="zh-CN"/>
        </w:rPr>
      </w:pPr>
    </w:p>
    <w:p w14:paraId="61EEB920">
      <w:pPr>
        <w:pStyle w:val="3"/>
        <w:rPr>
          <w:rFonts w:hint="default"/>
          <w:lang w:val="en-US" w:eastAsia="zh-CN"/>
        </w:rPr>
      </w:pPr>
    </w:p>
    <w:p w14:paraId="17C346F1">
      <w:pPr>
        <w:pStyle w:val="3"/>
        <w:rPr>
          <w:rFonts w:hint="default"/>
          <w:lang w:val="en-US" w:eastAsia="zh-CN"/>
        </w:rPr>
      </w:pPr>
    </w:p>
    <w:p w14:paraId="7FAFC6B4">
      <w:pPr>
        <w:pStyle w:val="3"/>
        <w:rPr>
          <w:rFonts w:hint="default"/>
          <w:lang w:val="en-US" w:eastAsia="zh-CN"/>
        </w:rPr>
      </w:pPr>
    </w:p>
    <w:p w14:paraId="79BBCBC9">
      <w:pPr>
        <w:pStyle w:val="3"/>
        <w:rPr>
          <w:rFonts w:hint="default"/>
          <w:lang w:val="en-US" w:eastAsia="zh-CN"/>
        </w:rPr>
      </w:pPr>
    </w:p>
    <w:p w14:paraId="1065F996">
      <w:pPr>
        <w:pStyle w:val="3"/>
        <w:rPr>
          <w:rFonts w:hint="default"/>
          <w:lang w:val="en-US" w:eastAsia="zh-CN"/>
        </w:rPr>
      </w:pPr>
    </w:p>
    <w:p w14:paraId="2809592E">
      <w:pPr>
        <w:pStyle w:val="21"/>
        <w:ind w:left="0" w:leftChars="0" w:firstLine="0" w:firstLineChars="0"/>
        <w:jc w:val="lef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2.2 具体技术要求</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2715"/>
        <w:gridCol w:w="5374"/>
      </w:tblGrid>
      <w:tr w14:paraId="75F1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Pr>
          <w:p w14:paraId="5B0D0945">
            <w:pPr>
              <w:pStyle w:val="21"/>
              <w:spacing w:line="360" w:lineRule="auto"/>
              <w:ind w:left="0" w:leftChars="0" w:firstLine="0" w:firstLineChars="0"/>
              <w:jc w:val="center"/>
              <w:rPr>
                <w:rFonts w:hint="default" w:ascii="宋体" w:hAnsi="宋体" w:eastAsia="宋体" w:cs="宋体"/>
                <w:b/>
                <w:bCs/>
                <w:color w:val="auto"/>
                <w:kern w:val="0"/>
                <w:sz w:val="21"/>
                <w:szCs w:val="21"/>
                <w:vertAlign w:val="baseline"/>
                <w:lang w:val="en-US" w:eastAsia="zh-CN"/>
              </w:rPr>
            </w:pPr>
            <w:r>
              <w:rPr>
                <w:rFonts w:hint="eastAsia" w:ascii="宋体" w:hAnsi="宋体" w:eastAsia="宋体" w:cs="宋体"/>
                <w:b/>
                <w:bCs/>
                <w:color w:val="auto"/>
                <w:kern w:val="0"/>
                <w:sz w:val="21"/>
                <w:szCs w:val="21"/>
                <w:vertAlign w:val="baseline"/>
                <w:lang w:val="en-US" w:eastAsia="zh-CN"/>
              </w:rPr>
              <w:t>序号</w:t>
            </w:r>
          </w:p>
        </w:tc>
        <w:tc>
          <w:tcPr>
            <w:tcW w:w="2715" w:type="dxa"/>
          </w:tcPr>
          <w:p w14:paraId="38885148">
            <w:pPr>
              <w:pStyle w:val="21"/>
              <w:spacing w:line="360" w:lineRule="auto"/>
              <w:ind w:left="0" w:leftChars="0" w:firstLine="0" w:firstLineChars="0"/>
              <w:jc w:val="center"/>
              <w:rPr>
                <w:rFonts w:hint="default" w:ascii="宋体" w:hAnsi="宋体" w:eastAsia="宋体" w:cs="宋体"/>
                <w:b/>
                <w:bCs/>
                <w:color w:val="auto"/>
                <w:kern w:val="0"/>
                <w:sz w:val="21"/>
                <w:szCs w:val="21"/>
                <w:vertAlign w:val="baseline"/>
                <w:lang w:val="en-US" w:eastAsia="zh-CN"/>
              </w:rPr>
            </w:pPr>
            <w:r>
              <w:rPr>
                <w:rFonts w:hint="eastAsia" w:ascii="宋体" w:hAnsi="宋体" w:eastAsia="宋体" w:cs="宋体"/>
                <w:b/>
                <w:bCs/>
                <w:color w:val="auto"/>
                <w:kern w:val="0"/>
                <w:sz w:val="21"/>
                <w:szCs w:val="21"/>
                <w:vertAlign w:val="baseline"/>
                <w:lang w:val="en-US" w:eastAsia="zh-CN"/>
              </w:rPr>
              <w:t>名称</w:t>
            </w:r>
          </w:p>
        </w:tc>
        <w:tc>
          <w:tcPr>
            <w:tcW w:w="5374" w:type="dxa"/>
          </w:tcPr>
          <w:p w14:paraId="5F1CEC8D">
            <w:pPr>
              <w:pStyle w:val="21"/>
              <w:spacing w:line="360" w:lineRule="auto"/>
              <w:ind w:left="0" w:leftChars="0" w:firstLine="0" w:firstLineChars="0"/>
              <w:jc w:val="center"/>
              <w:rPr>
                <w:rFonts w:hint="default" w:ascii="宋体" w:hAnsi="宋体" w:eastAsia="宋体" w:cs="宋体"/>
                <w:b/>
                <w:bCs/>
                <w:color w:val="auto"/>
                <w:kern w:val="0"/>
                <w:sz w:val="21"/>
                <w:szCs w:val="21"/>
                <w:vertAlign w:val="baseline"/>
                <w:lang w:val="en-US" w:eastAsia="zh-CN"/>
              </w:rPr>
            </w:pPr>
            <w:r>
              <w:rPr>
                <w:rFonts w:hint="eastAsia" w:ascii="宋体" w:hAnsi="宋体" w:eastAsia="宋体" w:cs="宋体"/>
                <w:b/>
                <w:bCs/>
                <w:color w:val="auto"/>
                <w:kern w:val="0"/>
                <w:sz w:val="21"/>
                <w:szCs w:val="21"/>
                <w:vertAlign w:val="baseline"/>
                <w:lang w:val="en-US" w:eastAsia="zh-CN"/>
              </w:rPr>
              <w:t>产品规格说明</w:t>
            </w:r>
          </w:p>
        </w:tc>
      </w:tr>
      <w:tr w14:paraId="4E1D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Pr>
          <w:p w14:paraId="075E3674">
            <w:pPr>
              <w:pStyle w:val="21"/>
              <w:keepNext w:val="0"/>
              <w:keepLines w:val="0"/>
              <w:pageBreakBefore w:val="0"/>
              <w:widowControl w:val="0"/>
              <w:kinsoku/>
              <w:wordWrap/>
              <w:overflowPunct/>
              <w:topLinePunct w:val="0"/>
              <w:autoSpaceDE/>
              <w:autoSpaceDN/>
              <w:bidi w:val="0"/>
              <w:adjustRightInd/>
              <w:snapToGrid/>
              <w:spacing w:line="6960" w:lineRule="auto"/>
              <w:ind w:left="0" w:leftChars="0" w:firstLine="0" w:firstLineChars="0"/>
              <w:jc w:val="center"/>
              <w:textAlignment w:val="auto"/>
              <w:rPr>
                <w:rFonts w:hint="default" w:ascii="宋体" w:hAnsi="宋体" w:eastAsia="宋体" w:cs="宋体"/>
                <w:b w:val="0"/>
                <w:bCs w:val="0"/>
                <w:color w:val="auto"/>
                <w:kern w:val="0"/>
                <w:sz w:val="21"/>
                <w:szCs w:val="21"/>
                <w:vertAlign w:val="baseline"/>
                <w:lang w:val="en-US" w:eastAsia="zh-CN"/>
              </w:rPr>
            </w:pPr>
            <w:r>
              <w:rPr>
                <w:rFonts w:hint="eastAsia" w:ascii="宋体" w:hAnsi="宋体" w:eastAsia="宋体" w:cs="宋体"/>
                <w:b w:val="0"/>
                <w:bCs w:val="0"/>
                <w:color w:val="auto"/>
                <w:kern w:val="0"/>
                <w:sz w:val="21"/>
                <w:szCs w:val="21"/>
                <w:vertAlign w:val="baseline"/>
                <w:lang w:val="en-US" w:eastAsia="zh-CN"/>
              </w:rPr>
              <w:t>1</w:t>
            </w:r>
          </w:p>
        </w:tc>
        <w:tc>
          <w:tcPr>
            <w:tcW w:w="2715" w:type="dxa"/>
          </w:tcPr>
          <w:p w14:paraId="4632DD50">
            <w:pPr>
              <w:pStyle w:val="21"/>
              <w:keepNext w:val="0"/>
              <w:keepLines w:val="0"/>
              <w:pageBreakBefore w:val="0"/>
              <w:widowControl w:val="0"/>
              <w:kinsoku/>
              <w:wordWrap/>
              <w:overflowPunct/>
              <w:topLinePunct w:val="0"/>
              <w:autoSpaceDE/>
              <w:autoSpaceDN/>
              <w:bidi w:val="0"/>
              <w:adjustRightInd/>
              <w:snapToGrid/>
              <w:spacing w:line="6960" w:lineRule="auto"/>
              <w:ind w:left="0" w:leftChars="0" w:firstLine="0" w:firstLineChars="0"/>
              <w:jc w:val="center"/>
              <w:textAlignment w:val="auto"/>
              <w:rPr>
                <w:rFonts w:hint="default" w:ascii="宋体" w:hAnsi="宋体" w:eastAsia="宋体" w:cs="宋体"/>
                <w:b w:val="0"/>
                <w:bCs w:val="0"/>
                <w:color w:val="auto"/>
                <w:kern w:val="0"/>
                <w:sz w:val="21"/>
                <w:szCs w:val="21"/>
                <w:vertAlign w:val="baseline"/>
                <w:lang w:val="en-US" w:eastAsia="zh-CN"/>
              </w:rPr>
            </w:pPr>
            <w:r>
              <w:rPr>
                <w:rFonts w:hint="eastAsia" w:ascii="宋体" w:hAnsi="宋体" w:eastAsia="宋体" w:cs="宋体"/>
                <w:b w:val="0"/>
                <w:bCs w:val="0"/>
                <w:color w:val="auto"/>
                <w:kern w:val="0"/>
                <w:sz w:val="21"/>
                <w:szCs w:val="21"/>
                <w:vertAlign w:val="baseline"/>
                <w:lang w:val="en-US" w:eastAsia="zh-CN"/>
              </w:rPr>
              <w:t>饮水机</w:t>
            </w:r>
          </w:p>
        </w:tc>
        <w:tc>
          <w:tcPr>
            <w:tcW w:w="5374" w:type="dxa"/>
          </w:tcPr>
          <w:p w14:paraId="667184CA">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lang w:val="en-US" w:eastAsia="zh-CN" w:bidi="ar"/>
              </w:rPr>
            </w:pPr>
            <w:r>
              <w:rPr>
                <w:rFonts w:hint="eastAsia" w:ascii="宋体" w:hAnsi="宋体" w:cs="宋体"/>
                <w:b/>
                <w:bCs/>
                <w:szCs w:val="21"/>
              </w:rPr>
              <w:t>★</w:t>
            </w:r>
            <w:r>
              <w:rPr>
                <w:rFonts w:hint="eastAsia" w:ascii="宋体" w:hAnsi="宋体" w:eastAsia="宋体" w:cs="宋体"/>
                <w:color w:val="000000"/>
                <w:kern w:val="2"/>
                <w:sz w:val="21"/>
                <w:szCs w:val="21"/>
                <w:lang w:val="en-US" w:eastAsia="zh-CN" w:bidi="ar"/>
              </w:rPr>
              <w:t>1、外形尺寸：</w:t>
            </w:r>
            <w:r>
              <w:rPr>
                <w:rFonts w:hint="eastAsia" w:ascii="宋体" w:hAnsi="宋体"/>
              </w:rPr>
              <w:t>宽1110×厚460×高1320mm（±10%）</w:t>
            </w:r>
            <w:r>
              <w:rPr>
                <w:rFonts w:hint="eastAsia" w:ascii="宋体" w:hAnsi="宋体" w:eastAsia="宋体" w:cs="宋体"/>
                <w:color w:val="000000"/>
                <w:kern w:val="2"/>
                <w:sz w:val="21"/>
                <w:szCs w:val="21"/>
                <w:lang w:val="en-US" w:eastAsia="zh-CN" w:bidi="ar"/>
              </w:rPr>
              <w:t>；</w:t>
            </w:r>
            <w:r>
              <w:rPr>
                <w:rFonts w:hint="eastAsia" w:ascii="宋体" w:hAnsi="宋体" w:eastAsia="宋体" w:cs="宋体"/>
                <w:b/>
                <w:bCs/>
                <w:color w:val="000000"/>
                <w:kern w:val="2"/>
                <w:sz w:val="21"/>
                <w:szCs w:val="21"/>
                <w:lang w:val="en-US" w:eastAsia="zh-CN" w:bidi="ar"/>
              </w:rPr>
              <w:t>（投标人投标时须提供对应型号的产品说明书或产品宣传彩页扫描件）</w:t>
            </w:r>
          </w:p>
          <w:p w14:paraId="49AA865A">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2、出水龙头：一开两温水</w:t>
            </w:r>
          </w:p>
          <w:p w14:paraId="14A46464">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000000"/>
                <w:kern w:val="2"/>
                <w:sz w:val="21"/>
                <w:szCs w:val="21"/>
              </w:rPr>
            </w:pPr>
            <w:r>
              <w:rPr>
                <w:rFonts w:hint="eastAsia" w:ascii="宋体" w:hAnsi="宋体" w:cs="宋体"/>
                <w:b/>
                <w:bCs/>
                <w:szCs w:val="21"/>
              </w:rPr>
              <w:t>★</w:t>
            </w:r>
            <w:r>
              <w:rPr>
                <w:rFonts w:hint="eastAsia" w:ascii="宋体" w:hAnsi="宋体" w:eastAsia="宋体" w:cs="宋体"/>
                <w:color w:val="000000"/>
                <w:kern w:val="2"/>
                <w:sz w:val="21"/>
                <w:szCs w:val="21"/>
                <w:lang w:val="en-US" w:eastAsia="zh-CN" w:bidi="ar"/>
              </w:rPr>
              <w:t>3、电源：220V/50Hz；额定功率：3000W-3500W</w:t>
            </w:r>
            <w:r>
              <w:rPr>
                <w:rFonts w:hint="eastAsia" w:ascii="宋体" w:hAnsi="宋体" w:eastAsia="宋体" w:cs="宋体"/>
                <w:b/>
                <w:bCs/>
                <w:color w:val="000000"/>
                <w:kern w:val="2"/>
                <w:sz w:val="21"/>
                <w:szCs w:val="21"/>
                <w:lang w:val="en-US" w:eastAsia="zh-CN" w:bidi="ar"/>
              </w:rPr>
              <w:t>（以产品CQC认证为佐证）</w:t>
            </w:r>
          </w:p>
          <w:p w14:paraId="2AADF1EA">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2"/>
                <w:sz w:val="21"/>
                <w:szCs w:val="21"/>
              </w:rPr>
            </w:pPr>
            <w:r>
              <w:rPr>
                <w:rFonts w:hint="eastAsia" w:ascii="宋体" w:hAnsi="宋体" w:cs="宋体"/>
                <w:b/>
                <w:bCs/>
                <w:szCs w:val="21"/>
              </w:rPr>
              <w:t>★</w:t>
            </w:r>
            <w:r>
              <w:rPr>
                <w:rFonts w:hint="eastAsia" w:ascii="宋体" w:hAnsi="宋体" w:eastAsia="宋体" w:cs="宋体"/>
                <w:color w:val="000000"/>
                <w:kern w:val="2"/>
                <w:sz w:val="21"/>
                <w:szCs w:val="21"/>
                <w:lang w:val="en-US" w:eastAsia="zh-CN" w:bidi="ar"/>
              </w:rPr>
              <w:t>4、净水流量：≥1.0L/min，额定总净水量≥6000L；</w:t>
            </w:r>
            <w:r>
              <w:rPr>
                <w:rFonts w:hint="eastAsia" w:ascii="宋体" w:hAnsi="宋体" w:eastAsia="宋体" w:cs="宋体"/>
                <w:b/>
                <w:bCs/>
                <w:color w:val="000000"/>
                <w:kern w:val="2"/>
                <w:sz w:val="21"/>
                <w:szCs w:val="21"/>
                <w:lang w:val="en-US" w:eastAsia="zh-CN" w:bidi="ar"/>
              </w:rPr>
              <w:t>以卫生许可批件为佐证，提供符合《生活饮用水水质处理器卫生安全与功能评价规范—反渗透处理装置》（2001）要求的产品整机型号对应的涉水批件复印件加盖厂家或投标人公章（不接受组合批件）</w:t>
            </w:r>
            <w:r>
              <w:rPr>
                <w:rFonts w:hint="eastAsia" w:ascii="宋体" w:hAnsi="宋体" w:eastAsia="宋体" w:cs="宋体"/>
                <w:color w:val="000000"/>
                <w:kern w:val="2"/>
                <w:sz w:val="21"/>
                <w:szCs w:val="21"/>
                <w:lang w:val="en-US" w:eastAsia="zh-CN" w:bidi="ar"/>
              </w:rPr>
              <w:t>；</w:t>
            </w:r>
          </w:p>
          <w:p w14:paraId="38992826">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5、不锈钢水箱：≥25L，内置压力桶：≥10G；</w:t>
            </w:r>
            <w:r>
              <w:rPr>
                <w:rFonts w:hint="eastAsia" w:ascii="宋体" w:hAnsi="宋体" w:eastAsia="宋体" w:cs="宋体"/>
                <w:b/>
                <w:bCs/>
                <w:color w:val="000000"/>
                <w:kern w:val="2"/>
                <w:sz w:val="21"/>
                <w:szCs w:val="21"/>
                <w:lang w:val="en-US" w:eastAsia="zh-CN" w:bidi="ar"/>
              </w:rPr>
              <w:t>（以卫生许可批件为佐证）</w:t>
            </w:r>
            <w:r>
              <w:rPr>
                <w:rFonts w:hint="eastAsia" w:ascii="宋体" w:hAnsi="宋体" w:eastAsia="宋体" w:cs="宋体"/>
                <w:color w:val="000000"/>
                <w:kern w:val="2"/>
                <w:sz w:val="21"/>
                <w:szCs w:val="21"/>
                <w:lang w:val="en-US" w:eastAsia="zh-CN" w:bidi="ar"/>
              </w:rPr>
              <w:t>；</w:t>
            </w:r>
          </w:p>
          <w:p w14:paraId="61E61AB1">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6、制开水能力：开水：≥90℃，30L/h；温水：60L/h；</w:t>
            </w:r>
          </w:p>
          <w:p w14:paraId="621A3CFD">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7、出水方式：触摸取水；</w:t>
            </w:r>
          </w:p>
          <w:p w14:paraId="0C9A3593">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cs="宋体"/>
                <w:b/>
                <w:bCs/>
                <w:szCs w:val="21"/>
              </w:rPr>
              <w:t>★</w:t>
            </w:r>
            <w:r>
              <w:rPr>
                <w:rFonts w:hint="eastAsia" w:ascii="宋体" w:hAnsi="宋体" w:eastAsia="宋体" w:cs="宋体"/>
                <w:color w:val="000000"/>
                <w:kern w:val="2"/>
                <w:sz w:val="21"/>
                <w:szCs w:val="21"/>
                <w:lang w:val="en-US" w:eastAsia="zh-CN" w:bidi="ar"/>
              </w:rPr>
              <w:t>8、滤芯组合：3*复合滤芯+RO膜+活性炭，核心过滤工艺为反渗透过滤；</w:t>
            </w:r>
            <w:r>
              <w:rPr>
                <w:rFonts w:hint="eastAsia" w:ascii="宋体" w:hAnsi="宋体" w:eastAsia="宋体" w:cs="宋体"/>
                <w:b/>
                <w:bCs/>
                <w:color w:val="000000"/>
                <w:kern w:val="2"/>
                <w:sz w:val="21"/>
                <w:szCs w:val="21"/>
                <w:lang w:val="en-US" w:eastAsia="zh-CN" w:bidi="ar"/>
              </w:rPr>
              <w:t>（各级滤芯与整机为同一品牌，提供各级滤芯批件及检测报告）</w:t>
            </w:r>
          </w:p>
          <w:p w14:paraId="095A5F90">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cs="宋体"/>
                <w:b/>
                <w:bCs/>
                <w:szCs w:val="21"/>
              </w:rPr>
              <w:t>★</w:t>
            </w:r>
            <w:r>
              <w:rPr>
                <w:rFonts w:hint="eastAsia" w:ascii="宋体" w:hAnsi="宋体" w:eastAsia="宋体" w:cs="宋体"/>
                <w:color w:val="000000"/>
                <w:kern w:val="2"/>
                <w:sz w:val="21"/>
                <w:szCs w:val="21"/>
                <w:lang w:val="en-US" w:eastAsia="zh-CN" w:bidi="ar"/>
              </w:rPr>
              <w:t>9、采用热量回收交接加热技术，节能降耗；</w:t>
            </w:r>
          </w:p>
          <w:p w14:paraId="27D97CB6">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10、任意两个出水嘴水平间距≥400mm；</w:t>
            </w:r>
          </w:p>
          <w:p w14:paraId="6EB4501D">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11、具有滤芯更换提示，安全更可靠；</w:t>
            </w:r>
          </w:p>
          <w:p w14:paraId="76E6E728">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12、具有微电脑程控设计，可设定每天工作时间和每周工作时间；</w:t>
            </w:r>
          </w:p>
          <w:p w14:paraId="31D82313">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13、温水管路可温控杀菌消毒，热水箱可自动杀菌消毒；</w:t>
            </w:r>
          </w:p>
          <w:p w14:paraId="3E733849">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14、取水区采用不锈钢拉丝设计；</w:t>
            </w:r>
          </w:p>
          <w:p w14:paraId="3D26D407">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cs="宋体"/>
                <w:b/>
                <w:bCs/>
                <w:szCs w:val="21"/>
              </w:rPr>
              <w:t>★</w:t>
            </w:r>
            <w:r>
              <w:rPr>
                <w:rFonts w:hint="eastAsia" w:ascii="宋体" w:hAnsi="宋体" w:eastAsia="宋体" w:cs="宋体"/>
                <w:color w:val="000000"/>
                <w:kern w:val="2"/>
                <w:sz w:val="21"/>
                <w:szCs w:val="21"/>
                <w:lang w:val="en-US" w:eastAsia="zh-CN" w:bidi="ar"/>
              </w:rPr>
              <w:t>15、整机防触电保护类别为I类，整机防水等级IP44；</w:t>
            </w:r>
          </w:p>
          <w:p w14:paraId="3A340730">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cs="宋体"/>
                <w:b/>
                <w:bCs/>
                <w:szCs w:val="21"/>
              </w:rPr>
              <w:t>★</w:t>
            </w:r>
            <w:r>
              <w:rPr>
                <w:rFonts w:hint="eastAsia" w:ascii="宋体" w:hAnsi="宋体" w:eastAsia="宋体" w:cs="宋体"/>
                <w:color w:val="000000"/>
                <w:kern w:val="2"/>
                <w:sz w:val="21"/>
                <w:szCs w:val="21"/>
                <w:lang w:val="en-US" w:eastAsia="zh-CN" w:bidi="ar"/>
              </w:rPr>
              <w:t>16、根据GB34914—2021《净水机水效限定值及水效等级》标准,产品水效等级为一级，提供对应型号的“中国水效标识”卡及在中国水效标识网上有备案；</w:t>
            </w:r>
          </w:p>
          <w:p w14:paraId="17884DAD">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000000"/>
                <w:kern w:val="2"/>
                <w:sz w:val="21"/>
                <w:szCs w:val="21"/>
              </w:rPr>
            </w:pPr>
            <w:r>
              <w:rPr>
                <w:rFonts w:hint="eastAsia" w:ascii="宋体" w:hAnsi="宋体" w:cs="宋体"/>
                <w:b/>
                <w:bCs/>
                <w:szCs w:val="21"/>
              </w:rPr>
              <w:t>★</w:t>
            </w:r>
            <w:r>
              <w:rPr>
                <w:rFonts w:hint="eastAsia" w:ascii="宋体" w:hAnsi="宋体" w:eastAsia="宋体" w:cs="宋体"/>
                <w:color w:val="000000"/>
                <w:kern w:val="2"/>
                <w:sz w:val="21"/>
                <w:szCs w:val="21"/>
                <w:lang w:val="en-US" w:eastAsia="zh-CN" w:bidi="ar"/>
              </w:rPr>
              <w:t>17、具有中国节能认证证书；</w:t>
            </w:r>
            <w:r>
              <w:rPr>
                <w:rFonts w:hint="eastAsia" w:ascii="宋体" w:hAnsi="宋体" w:eastAsia="宋体" w:cs="宋体"/>
                <w:b/>
                <w:bCs/>
                <w:color w:val="000000"/>
                <w:kern w:val="2"/>
                <w:sz w:val="21"/>
                <w:szCs w:val="21"/>
                <w:lang w:val="en-US" w:eastAsia="zh-CN" w:bidi="ar"/>
              </w:rPr>
              <w:t>（证书须体现投标型号，出具扫描件,原件备查）；</w:t>
            </w:r>
          </w:p>
          <w:p w14:paraId="695C0A32">
            <w:pPr>
              <w:keepNext w:val="0"/>
              <w:keepLines w:val="0"/>
              <w:widowControl/>
              <w:suppressLineNumbers w:val="0"/>
              <w:spacing w:before="0" w:beforeAutospacing="0" w:after="0" w:afterAutospacing="0"/>
              <w:ind w:left="0" w:right="0"/>
              <w:jc w:val="left"/>
              <w:rPr>
                <w:rFonts w:hint="eastAsia" w:ascii="宋体" w:hAnsi="宋体" w:eastAsia="宋体" w:cs="宋体"/>
                <w:b/>
                <w:bCs/>
                <w:kern w:val="2"/>
                <w:sz w:val="21"/>
                <w:szCs w:val="21"/>
              </w:rPr>
            </w:pPr>
            <w:r>
              <w:rPr>
                <w:rFonts w:hint="eastAsia" w:ascii="宋体" w:hAnsi="宋体" w:cs="宋体"/>
                <w:b/>
                <w:bCs/>
                <w:szCs w:val="21"/>
              </w:rPr>
              <w:t>★</w:t>
            </w:r>
            <w:r>
              <w:rPr>
                <w:rFonts w:hint="eastAsia" w:ascii="宋体" w:hAnsi="宋体" w:eastAsia="宋体" w:cs="宋体"/>
                <w:color w:val="000000"/>
                <w:kern w:val="2"/>
                <w:sz w:val="21"/>
                <w:szCs w:val="21"/>
                <w:lang w:val="en-US" w:eastAsia="zh-CN" w:bidi="ar"/>
              </w:rPr>
              <w:t>18、设备保温性能好，加热至制水停止，其4h后温度下降应不大于16℃；</w:t>
            </w:r>
            <w:r>
              <w:rPr>
                <w:rFonts w:hint="eastAsia" w:ascii="宋体" w:hAnsi="宋体" w:eastAsia="宋体" w:cs="宋体"/>
                <w:b/>
                <w:bCs/>
                <w:kern w:val="2"/>
                <w:sz w:val="21"/>
                <w:szCs w:val="21"/>
                <w:lang w:val="en-US" w:eastAsia="zh-CN" w:bidi="ar"/>
              </w:rPr>
              <w:t>（投标人需提供由通过CMA或CNAS认证的机构出具的加盖CMA或CNAS印章的检测报告扫描件（要求内容能体现满足上述要求）</w:t>
            </w:r>
          </w:p>
          <w:p w14:paraId="4E2AE558">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（提供第三方检测机构出具的报告）</w:t>
            </w:r>
          </w:p>
          <w:p w14:paraId="028EDB12">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2"/>
                <w:sz w:val="21"/>
                <w:szCs w:val="21"/>
              </w:rPr>
            </w:pPr>
            <w:r>
              <w:rPr>
                <w:rFonts w:hint="eastAsia" w:ascii="宋体" w:hAnsi="宋体" w:cs="宋体"/>
                <w:b/>
                <w:bCs/>
                <w:szCs w:val="21"/>
              </w:rPr>
              <w:t>★</w:t>
            </w:r>
            <w:r>
              <w:rPr>
                <w:rFonts w:hint="eastAsia" w:ascii="宋体" w:hAnsi="宋体" w:eastAsia="宋体" w:cs="宋体"/>
                <w:color w:val="000000"/>
                <w:kern w:val="2"/>
                <w:sz w:val="21"/>
                <w:szCs w:val="21"/>
                <w:lang w:val="en-US" w:eastAsia="zh-CN" w:bidi="ar"/>
              </w:rPr>
              <w:t>19、设备能耗低，单位水量能耗值应不大于0.095kW•h/L；</w:t>
            </w:r>
            <w:r>
              <w:rPr>
                <w:rFonts w:hint="eastAsia" w:ascii="宋体" w:hAnsi="宋体" w:eastAsia="宋体" w:cs="宋体"/>
                <w:b/>
                <w:bCs/>
                <w:kern w:val="2"/>
                <w:sz w:val="21"/>
                <w:szCs w:val="21"/>
                <w:lang w:val="en-US" w:eastAsia="zh-CN" w:bidi="ar"/>
              </w:rPr>
              <w:t>（投标人需提供由通过CMA或CNAS认证的机构出具的加盖CMA或CNAS印章的检测报告扫描件（要求内容能体现满足上述要求）</w:t>
            </w:r>
          </w:p>
          <w:p w14:paraId="63C2DCA8">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cs="宋体"/>
                <w:b/>
                <w:bCs/>
                <w:szCs w:val="21"/>
              </w:rPr>
              <w:t>★</w:t>
            </w:r>
            <w:r>
              <w:rPr>
                <w:rFonts w:hint="eastAsia" w:ascii="宋体" w:hAnsi="宋体" w:eastAsia="宋体" w:cs="宋体"/>
                <w:color w:val="000000"/>
                <w:kern w:val="2"/>
                <w:sz w:val="21"/>
                <w:szCs w:val="21"/>
                <w:lang w:val="en-US" w:eastAsia="zh-CN" w:bidi="ar"/>
              </w:rPr>
              <w:t>20、具有CQC认证证书；</w:t>
            </w:r>
            <w:r>
              <w:rPr>
                <w:rFonts w:hint="eastAsia" w:ascii="宋体" w:hAnsi="宋体" w:eastAsia="宋体" w:cs="宋体"/>
                <w:b/>
                <w:bCs/>
                <w:color w:val="000000"/>
                <w:kern w:val="2"/>
                <w:sz w:val="21"/>
                <w:szCs w:val="21"/>
                <w:lang w:val="en-US" w:eastAsia="zh-CN" w:bidi="ar"/>
              </w:rPr>
              <w:t>（证书须体现投标型号，出具扫描件,原件备查）</w:t>
            </w:r>
          </w:p>
          <w:p w14:paraId="30B9288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★21、具有卫生部门颁发的产品卫生许可批件，出水水质：符合《生活饮用水水质处理器卫生安全与功能评价规范—反渗透处理装置》（2001）的要求。</w:t>
            </w:r>
          </w:p>
          <w:p w14:paraId="1F7C0247">
            <w:pPr>
              <w:pStyle w:val="21"/>
              <w:keepNext w:val="0"/>
              <w:keepLines w:val="0"/>
              <w:pageBreakBefore w:val="0"/>
              <w:kinsoku/>
              <w:wordWrap/>
              <w:overflowPunct/>
              <w:topLinePunct w:val="0"/>
              <w:autoSpaceDE/>
              <w:autoSpaceDN/>
              <w:bidi w:val="0"/>
              <w:adjustRightInd/>
              <w:snapToGrid/>
              <w:spacing w:line="300" w:lineRule="atLeast"/>
              <w:ind w:left="0" w:leftChars="0" w:firstLine="0" w:firstLineChars="0"/>
              <w:jc w:val="both"/>
              <w:textAlignment w:val="auto"/>
              <w:rPr>
                <w:rFonts w:hint="default" w:ascii="宋体" w:hAnsi="宋体" w:eastAsia="宋体" w:cs="宋体"/>
                <w:b/>
                <w:bCs/>
                <w:color w:val="auto"/>
                <w:kern w:val="0"/>
                <w:sz w:val="21"/>
                <w:szCs w:val="21"/>
                <w:vertAlign w:val="baseline"/>
                <w:lang w:val="en-US" w:eastAsia="zh-CN"/>
              </w:rPr>
            </w:pPr>
            <w:r>
              <w:rPr>
                <w:rFonts w:hint="eastAsia" w:asciiTheme="minorEastAsia" w:hAnsiTheme="minorEastAsia" w:eastAsiaTheme="minorEastAsia" w:cstheme="minorEastAsia"/>
                <w:b/>
                <w:bCs/>
                <w:sz w:val="21"/>
                <w:szCs w:val="21"/>
              </w:rPr>
              <w:t>★</w:t>
            </w:r>
            <w:r>
              <w:rPr>
                <w:rFonts w:hint="eastAsia" w:ascii="宋体" w:hAnsi="宋体" w:eastAsia="宋体" w:cs="宋体"/>
                <w:b w:val="0"/>
                <w:bCs/>
                <w:color w:val="000000"/>
                <w:kern w:val="2"/>
                <w:sz w:val="21"/>
                <w:szCs w:val="21"/>
                <w:lang w:val="en-US" w:eastAsia="zh-CN" w:bidi="ar"/>
              </w:rPr>
              <w:t>22</w:t>
            </w:r>
            <w:r>
              <w:rPr>
                <w:rFonts w:hint="eastAsia" w:ascii="宋体" w:hAnsi="宋体" w:eastAsia="宋体" w:cs="宋体"/>
                <w:b/>
                <w:bCs w:val="0"/>
                <w:color w:val="000000"/>
                <w:kern w:val="2"/>
                <w:sz w:val="21"/>
                <w:szCs w:val="21"/>
                <w:lang w:val="en-US" w:eastAsia="zh-CN" w:bidi="ar"/>
              </w:rPr>
              <w:t>、</w:t>
            </w:r>
            <w:r>
              <w:rPr>
                <w:rFonts w:hint="eastAsia" w:ascii="宋体" w:hAnsi="宋体" w:eastAsia="宋体" w:cs="宋体"/>
                <w:color w:val="000000"/>
                <w:kern w:val="0"/>
                <w:sz w:val="21"/>
                <w:szCs w:val="21"/>
                <w:lang w:val="en-US" w:eastAsia="zh-CN" w:bidi="ar"/>
              </w:rPr>
              <w:t>整机符合 GB/T24021-2024 要求，通过中国环境标志产品认证</w:t>
            </w:r>
            <w:r>
              <w:rPr>
                <w:rFonts w:hint="eastAsia" w:ascii="宋体" w:hAnsi="宋体" w:eastAsia="宋体" w:cs="宋体"/>
                <w:b/>
                <w:bCs/>
                <w:color w:val="000000"/>
                <w:kern w:val="0"/>
                <w:sz w:val="21"/>
                <w:szCs w:val="21"/>
                <w:lang w:val="en-US" w:eastAsia="zh-CN" w:bidi="ar"/>
              </w:rPr>
              <w:t>（提供与投标产品型号一致的整机中国环境标志产品认证证书复印件并提供全国认证认可信息公共服务平台官网 http://cx.cnca.cn/ 查询截图）</w:t>
            </w:r>
          </w:p>
        </w:tc>
      </w:tr>
    </w:tbl>
    <w:p w14:paraId="58F36B96">
      <w:pPr>
        <w:pStyle w:val="21"/>
        <w:ind w:left="0" w:leftChars="0" w:firstLine="0" w:firstLineChars="0"/>
        <w:jc w:val="left"/>
        <w:rPr>
          <w:rFonts w:hint="default" w:ascii="宋体" w:hAnsi="宋体" w:eastAsia="宋体" w:cs="宋体"/>
          <w:b/>
          <w:bCs/>
          <w:color w:val="auto"/>
          <w:kern w:val="0"/>
          <w:sz w:val="21"/>
          <w:szCs w:val="21"/>
          <w:lang w:val="en-US" w:eastAsia="zh-CN"/>
        </w:rPr>
      </w:pPr>
    </w:p>
    <w:p w14:paraId="0C7C6EB1">
      <w:pPr>
        <w:pStyle w:val="21"/>
        <w:numPr>
          <w:ilvl w:val="0"/>
          <w:numId w:val="10"/>
        </w:numPr>
        <w:ind w:left="0" w:leftChars="0" w:firstLine="0" w:firstLineChars="0"/>
        <w:jc w:val="lef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商务条款</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845"/>
        <w:gridCol w:w="6244"/>
      </w:tblGrid>
      <w:tr w14:paraId="5CEED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Pr>
          <w:p w14:paraId="39A426AE">
            <w:pPr>
              <w:pStyle w:val="21"/>
              <w:numPr>
                <w:ilvl w:val="0"/>
                <w:numId w:val="0"/>
              </w:numPr>
              <w:spacing w:line="360" w:lineRule="auto"/>
              <w:jc w:val="center"/>
              <w:rPr>
                <w:rFonts w:hint="default" w:ascii="宋体" w:hAnsi="宋体" w:eastAsia="宋体" w:cs="宋体"/>
                <w:b/>
                <w:bCs/>
                <w:color w:val="auto"/>
                <w:kern w:val="0"/>
                <w:sz w:val="21"/>
                <w:szCs w:val="21"/>
                <w:vertAlign w:val="baseline"/>
                <w:lang w:val="en-US" w:eastAsia="zh-CN"/>
              </w:rPr>
            </w:pPr>
            <w:r>
              <w:rPr>
                <w:rFonts w:hint="eastAsia" w:ascii="宋体" w:hAnsi="宋体" w:eastAsia="宋体" w:cs="宋体"/>
                <w:b/>
                <w:bCs/>
                <w:color w:val="auto"/>
                <w:kern w:val="0"/>
                <w:sz w:val="21"/>
                <w:szCs w:val="21"/>
                <w:vertAlign w:val="baseline"/>
                <w:lang w:val="en-US" w:eastAsia="zh-CN"/>
              </w:rPr>
              <w:t>序号</w:t>
            </w:r>
          </w:p>
        </w:tc>
        <w:tc>
          <w:tcPr>
            <w:tcW w:w="1845" w:type="dxa"/>
          </w:tcPr>
          <w:p w14:paraId="7821B48D">
            <w:pPr>
              <w:pStyle w:val="21"/>
              <w:numPr>
                <w:ilvl w:val="0"/>
                <w:numId w:val="0"/>
              </w:numPr>
              <w:spacing w:line="360" w:lineRule="auto"/>
              <w:jc w:val="center"/>
              <w:rPr>
                <w:rFonts w:hint="default" w:ascii="宋体" w:hAnsi="宋体" w:eastAsia="宋体" w:cs="宋体"/>
                <w:b/>
                <w:bCs/>
                <w:color w:val="auto"/>
                <w:kern w:val="0"/>
                <w:sz w:val="21"/>
                <w:szCs w:val="21"/>
                <w:vertAlign w:val="baseline"/>
                <w:lang w:val="en-US" w:eastAsia="zh-CN"/>
              </w:rPr>
            </w:pPr>
            <w:r>
              <w:rPr>
                <w:rFonts w:hint="eastAsia" w:ascii="宋体" w:hAnsi="宋体" w:eastAsia="宋体" w:cs="宋体"/>
                <w:b/>
                <w:bCs/>
                <w:color w:val="auto"/>
                <w:kern w:val="0"/>
                <w:sz w:val="21"/>
                <w:szCs w:val="21"/>
                <w:vertAlign w:val="baseline"/>
                <w:lang w:val="en-US" w:eastAsia="zh-CN"/>
              </w:rPr>
              <w:t>目录</w:t>
            </w:r>
          </w:p>
        </w:tc>
        <w:tc>
          <w:tcPr>
            <w:tcW w:w="6244" w:type="dxa"/>
          </w:tcPr>
          <w:p w14:paraId="72A29FA0">
            <w:pPr>
              <w:pStyle w:val="21"/>
              <w:numPr>
                <w:ilvl w:val="0"/>
                <w:numId w:val="0"/>
              </w:numPr>
              <w:spacing w:line="360" w:lineRule="auto"/>
              <w:jc w:val="center"/>
              <w:rPr>
                <w:rFonts w:hint="default" w:ascii="宋体" w:hAnsi="宋体" w:eastAsia="宋体" w:cs="宋体"/>
                <w:b/>
                <w:bCs/>
                <w:color w:val="auto"/>
                <w:kern w:val="0"/>
                <w:sz w:val="21"/>
                <w:szCs w:val="21"/>
                <w:vertAlign w:val="baseline"/>
                <w:lang w:val="en-US" w:eastAsia="zh-CN"/>
              </w:rPr>
            </w:pPr>
            <w:r>
              <w:rPr>
                <w:rFonts w:hint="eastAsia" w:ascii="宋体" w:hAnsi="宋体" w:eastAsia="宋体" w:cs="宋体"/>
                <w:b/>
                <w:bCs/>
                <w:color w:val="auto"/>
                <w:kern w:val="0"/>
                <w:sz w:val="21"/>
                <w:szCs w:val="21"/>
                <w:vertAlign w:val="baseline"/>
                <w:lang w:val="en-US" w:eastAsia="zh-CN"/>
              </w:rPr>
              <w:t>招标商务需求</w:t>
            </w:r>
          </w:p>
        </w:tc>
      </w:tr>
      <w:tr w14:paraId="78F1C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gridSpan w:val="3"/>
          </w:tcPr>
          <w:p w14:paraId="76B13F5A">
            <w:pPr>
              <w:pStyle w:val="21"/>
              <w:numPr>
                <w:ilvl w:val="0"/>
                <w:numId w:val="0"/>
              </w:numPr>
              <w:spacing w:line="240" w:lineRule="auto"/>
              <w:jc w:val="left"/>
              <w:rPr>
                <w:rFonts w:hint="default" w:ascii="宋体" w:hAnsi="宋体" w:eastAsia="宋体" w:cs="宋体"/>
                <w:b/>
                <w:bCs/>
                <w:color w:val="auto"/>
                <w:kern w:val="0"/>
                <w:sz w:val="21"/>
                <w:szCs w:val="21"/>
                <w:vertAlign w:val="baseline"/>
                <w:lang w:val="en-US" w:eastAsia="zh-CN"/>
              </w:rPr>
            </w:pPr>
            <w:r>
              <w:rPr>
                <w:rFonts w:hint="eastAsia" w:ascii="宋体" w:hAnsi="宋体" w:eastAsia="宋体" w:cs="宋体"/>
                <w:b/>
                <w:bCs/>
                <w:color w:val="auto"/>
                <w:kern w:val="0"/>
                <w:sz w:val="21"/>
                <w:szCs w:val="21"/>
                <w:vertAlign w:val="baseline"/>
                <w:lang w:val="en-US" w:eastAsia="zh-CN"/>
              </w:rPr>
              <w:t>（一）免费保修期内售后服务要求</w:t>
            </w:r>
          </w:p>
        </w:tc>
      </w:tr>
      <w:tr w14:paraId="1756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29619B97">
            <w:pPr>
              <w:spacing w:line="240" w:lineRule="auto"/>
              <w:jc w:val="center"/>
              <w:rPr>
                <w:rFonts w:hint="default" w:ascii="宋体" w:hAnsi="宋体" w:eastAsia="宋体" w:cs="宋体"/>
                <w:b w:val="0"/>
                <w:bCs w:val="0"/>
                <w:color w:val="auto"/>
                <w:kern w:val="0"/>
                <w:sz w:val="21"/>
                <w:szCs w:val="21"/>
                <w:vertAlign w:val="baseline"/>
                <w:lang w:val="en-US" w:eastAsia="zh-CN"/>
              </w:rPr>
            </w:pPr>
            <w:r>
              <w:rPr>
                <w:rFonts w:hint="eastAsia" w:ascii="宋体" w:hAnsi="宋体" w:eastAsia="宋体" w:cs="宋体"/>
                <w:b w:val="0"/>
                <w:bCs w:val="0"/>
                <w:color w:val="auto"/>
                <w:sz w:val="21"/>
                <w:szCs w:val="21"/>
              </w:rPr>
              <w:t>1</w:t>
            </w:r>
          </w:p>
        </w:tc>
        <w:tc>
          <w:tcPr>
            <w:tcW w:w="1845" w:type="dxa"/>
            <w:vAlign w:val="center"/>
          </w:tcPr>
          <w:p w14:paraId="70FD05CD">
            <w:pPr>
              <w:spacing w:line="240" w:lineRule="auto"/>
              <w:jc w:val="center"/>
              <w:rPr>
                <w:rFonts w:hint="default" w:ascii="宋体" w:hAnsi="宋体" w:eastAsia="宋体" w:cs="宋体"/>
                <w:b w:val="0"/>
                <w:bCs w:val="0"/>
                <w:color w:val="auto"/>
                <w:kern w:val="0"/>
                <w:sz w:val="21"/>
                <w:szCs w:val="21"/>
                <w:vertAlign w:val="baseline"/>
                <w:lang w:val="en-US" w:eastAsia="zh-CN"/>
              </w:rPr>
            </w:pPr>
            <w:r>
              <w:rPr>
                <w:rFonts w:hint="eastAsia" w:ascii="宋体" w:hAnsi="宋体" w:eastAsia="宋体" w:cs="宋体"/>
                <w:b w:val="0"/>
                <w:bCs w:val="0"/>
                <w:color w:val="auto"/>
                <w:sz w:val="21"/>
                <w:szCs w:val="21"/>
              </w:rPr>
              <w:t>维修响应及故障解决时间</w:t>
            </w:r>
          </w:p>
        </w:tc>
        <w:tc>
          <w:tcPr>
            <w:tcW w:w="6244" w:type="dxa"/>
            <w:vAlign w:val="center"/>
          </w:tcPr>
          <w:p w14:paraId="38D57E3E">
            <w:pPr>
              <w:spacing w:line="240" w:lineRule="auto"/>
              <w:rPr>
                <w:rFonts w:hint="default" w:ascii="宋体" w:hAnsi="宋体" w:eastAsia="宋体" w:cs="宋体"/>
                <w:b w:val="0"/>
                <w:bCs w:val="0"/>
                <w:color w:val="auto"/>
                <w:kern w:val="0"/>
                <w:sz w:val="21"/>
                <w:szCs w:val="21"/>
                <w:vertAlign w:val="baseline"/>
                <w:lang w:val="en-US" w:eastAsia="zh-CN"/>
              </w:rPr>
            </w:pPr>
            <w:r>
              <w:rPr>
                <w:rFonts w:hint="eastAsia" w:ascii="宋体" w:hAnsi="宋体" w:eastAsia="宋体" w:cs="宋体"/>
                <w:b w:val="0"/>
                <w:bCs w:val="0"/>
                <w:color w:val="auto"/>
                <w:sz w:val="21"/>
                <w:szCs w:val="21"/>
              </w:rPr>
              <w:t>在保修期内，一旦发生质量问题，投标人保证在接到通知24小时内赶到现场进行修理或更换。</w:t>
            </w:r>
          </w:p>
        </w:tc>
      </w:tr>
      <w:tr w14:paraId="1BB3D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6B41B2B6">
            <w:pPr>
              <w:spacing w:line="240" w:lineRule="auto"/>
              <w:jc w:val="center"/>
              <w:rPr>
                <w:rFonts w:hint="default" w:ascii="宋体" w:hAnsi="宋体" w:eastAsia="宋体" w:cs="宋体"/>
                <w:b w:val="0"/>
                <w:bCs w:val="0"/>
                <w:color w:val="auto"/>
                <w:kern w:val="0"/>
                <w:sz w:val="21"/>
                <w:szCs w:val="21"/>
                <w:vertAlign w:val="baseline"/>
                <w:lang w:val="en-US" w:eastAsia="zh-CN"/>
              </w:rPr>
            </w:pPr>
            <w:r>
              <w:rPr>
                <w:rFonts w:hint="eastAsia" w:ascii="宋体" w:hAnsi="宋体" w:eastAsia="宋体" w:cs="宋体"/>
                <w:b w:val="0"/>
                <w:bCs w:val="0"/>
                <w:color w:val="auto"/>
                <w:sz w:val="21"/>
                <w:szCs w:val="21"/>
              </w:rPr>
              <w:t>2</w:t>
            </w:r>
          </w:p>
        </w:tc>
        <w:tc>
          <w:tcPr>
            <w:tcW w:w="1845" w:type="dxa"/>
            <w:vAlign w:val="center"/>
          </w:tcPr>
          <w:p w14:paraId="5CE39C4D">
            <w:pPr>
              <w:spacing w:line="240" w:lineRule="auto"/>
              <w:jc w:val="center"/>
              <w:rPr>
                <w:rFonts w:hint="default" w:ascii="宋体" w:hAnsi="宋体" w:eastAsia="宋体" w:cs="宋体"/>
                <w:b w:val="0"/>
                <w:bCs w:val="0"/>
                <w:color w:val="auto"/>
                <w:kern w:val="0"/>
                <w:sz w:val="21"/>
                <w:szCs w:val="21"/>
                <w:vertAlign w:val="baseline"/>
                <w:lang w:val="en-US" w:eastAsia="zh-CN"/>
              </w:rPr>
            </w:pPr>
            <w:r>
              <w:rPr>
                <w:rFonts w:hint="eastAsia" w:ascii="宋体" w:hAnsi="宋体" w:eastAsia="宋体" w:cs="宋体"/>
                <w:b w:val="0"/>
                <w:bCs w:val="0"/>
                <w:color w:val="auto"/>
                <w:sz w:val="21"/>
                <w:szCs w:val="21"/>
              </w:rPr>
              <w:t>关于免费保修期</w:t>
            </w:r>
          </w:p>
        </w:tc>
        <w:tc>
          <w:tcPr>
            <w:tcW w:w="6244" w:type="dxa"/>
            <w:vAlign w:val="center"/>
          </w:tcPr>
          <w:p w14:paraId="4A82898A">
            <w:pPr>
              <w:spacing w:line="240" w:lineRule="auto"/>
              <w:rPr>
                <w:rFonts w:hint="default" w:ascii="宋体" w:hAnsi="宋体" w:eastAsia="宋体" w:cs="宋体"/>
                <w:b w:val="0"/>
                <w:bCs w:val="0"/>
                <w:color w:val="auto"/>
                <w:kern w:val="0"/>
                <w:sz w:val="21"/>
                <w:szCs w:val="21"/>
                <w:vertAlign w:val="baseline"/>
                <w:lang w:val="en-US" w:eastAsia="zh-CN"/>
              </w:rPr>
            </w:pPr>
            <w:r>
              <w:rPr>
                <w:rFonts w:hint="eastAsia" w:ascii="宋体" w:hAnsi="宋体" w:eastAsia="宋体" w:cs="宋体"/>
                <w:b w:val="0"/>
                <w:bCs w:val="0"/>
                <w:color w:val="auto"/>
                <w:sz w:val="21"/>
                <w:szCs w:val="21"/>
              </w:rPr>
              <w:t>货物免费保修期</w:t>
            </w:r>
            <w:r>
              <w:rPr>
                <w:rFonts w:hint="eastAsia" w:ascii="宋体" w:hAnsi="宋体" w:eastAsia="宋体" w:cs="宋体"/>
                <w:b w:val="0"/>
                <w:bCs w:val="0"/>
                <w:color w:val="auto"/>
                <w:sz w:val="21"/>
                <w:szCs w:val="21"/>
                <w:u w:val="single"/>
              </w:rPr>
              <w:t xml:space="preserve">  1  </w:t>
            </w:r>
            <w:r>
              <w:rPr>
                <w:rFonts w:hint="eastAsia" w:ascii="宋体" w:hAnsi="宋体" w:eastAsia="宋体" w:cs="宋体"/>
                <w:b w:val="0"/>
                <w:bCs w:val="0"/>
                <w:color w:val="auto"/>
                <w:sz w:val="21"/>
                <w:szCs w:val="21"/>
              </w:rPr>
              <w:t>年，时间自最终验收合格并交付使用之日起计算。</w:t>
            </w:r>
          </w:p>
        </w:tc>
      </w:tr>
      <w:tr w14:paraId="58D7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10B198C9">
            <w:pPr>
              <w:spacing w:line="240" w:lineRule="auto"/>
              <w:jc w:val="center"/>
              <w:rPr>
                <w:rFonts w:hint="default" w:ascii="宋体" w:hAnsi="宋体" w:eastAsia="宋体" w:cs="宋体"/>
                <w:b w:val="0"/>
                <w:bCs w:val="0"/>
                <w:color w:val="auto"/>
                <w:kern w:val="0"/>
                <w:sz w:val="21"/>
                <w:szCs w:val="21"/>
                <w:vertAlign w:val="baseline"/>
                <w:lang w:val="en-US" w:eastAsia="zh-CN"/>
              </w:rPr>
            </w:pPr>
            <w:r>
              <w:rPr>
                <w:rFonts w:hint="eastAsia" w:ascii="宋体" w:hAnsi="宋体" w:eastAsia="宋体" w:cs="宋体"/>
                <w:b w:val="0"/>
                <w:bCs w:val="0"/>
                <w:color w:val="auto"/>
                <w:sz w:val="21"/>
                <w:szCs w:val="21"/>
              </w:rPr>
              <w:t>3</w:t>
            </w:r>
          </w:p>
        </w:tc>
        <w:tc>
          <w:tcPr>
            <w:tcW w:w="1845" w:type="dxa"/>
            <w:vAlign w:val="center"/>
          </w:tcPr>
          <w:p w14:paraId="16433B4B">
            <w:pPr>
              <w:spacing w:line="240" w:lineRule="auto"/>
              <w:jc w:val="center"/>
              <w:rPr>
                <w:rFonts w:hint="default" w:ascii="宋体" w:hAnsi="宋体" w:eastAsia="宋体" w:cs="宋体"/>
                <w:b w:val="0"/>
                <w:bCs w:val="0"/>
                <w:color w:val="auto"/>
                <w:kern w:val="0"/>
                <w:sz w:val="21"/>
                <w:szCs w:val="21"/>
                <w:vertAlign w:val="baseline"/>
                <w:lang w:val="en-US" w:eastAsia="zh-CN"/>
              </w:rPr>
            </w:pPr>
            <w:r>
              <w:rPr>
                <w:rFonts w:hint="eastAsia" w:ascii="宋体" w:hAnsi="宋体" w:eastAsia="宋体" w:cs="宋体"/>
                <w:b w:val="0"/>
                <w:bCs w:val="0"/>
                <w:color w:val="auto"/>
                <w:sz w:val="21"/>
                <w:szCs w:val="21"/>
              </w:rPr>
              <w:t>其他</w:t>
            </w:r>
          </w:p>
        </w:tc>
        <w:tc>
          <w:tcPr>
            <w:tcW w:w="6244" w:type="dxa"/>
            <w:vAlign w:val="center"/>
          </w:tcPr>
          <w:p w14:paraId="38EABC41">
            <w:pPr>
              <w:spacing w:line="240" w:lineRule="auto"/>
              <w:rPr>
                <w:rFonts w:hint="default" w:ascii="宋体" w:hAnsi="宋体" w:eastAsia="宋体" w:cs="宋体"/>
                <w:b w:val="0"/>
                <w:bCs w:val="0"/>
                <w:color w:val="auto"/>
                <w:kern w:val="0"/>
                <w:sz w:val="21"/>
                <w:szCs w:val="21"/>
                <w:vertAlign w:val="baseline"/>
                <w:lang w:val="en-US" w:eastAsia="zh-CN"/>
              </w:rPr>
            </w:pPr>
            <w:r>
              <w:rPr>
                <w:rFonts w:hint="eastAsia" w:ascii="宋体" w:hAnsi="宋体" w:eastAsia="宋体" w:cs="宋体"/>
                <w:b w:val="0"/>
                <w:bCs w:val="0"/>
                <w:color w:val="auto"/>
                <w:sz w:val="21"/>
                <w:szCs w:val="21"/>
              </w:rPr>
              <w:t>投标人应按其投标文件中的承诺，进行其他售后服务工作。</w:t>
            </w:r>
          </w:p>
        </w:tc>
      </w:tr>
      <w:tr w14:paraId="1FEB0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gridSpan w:val="3"/>
          </w:tcPr>
          <w:p w14:paraId="290D24FE">
            <w:pPr>
              <w:pStyle w:val="21"/>
              <w:numPr>
                <w:ilvl w:val="0"/>
                <w:numId w:val="0"/>
              </w:numPr>
              <w:spacing w:line="240" w:lineRule="auto"/>
              <w:jc w:val="left"/>
              <w:rPr>
                <w:rFonts w:hint="default" w:ascii="宋体" w:hAnsi="宋体" w:eastAsia="宋体" w:cs="宋体"/>
                <w:b/>
                <w:bCs/>
                <w:color w:val="auto"/>
                <w:kern w:val="0"/>
                <w:sz w:val="21"/>
                <w:szCs w:val="21"/>
                <w:vertAlign w:val="baseline"/>
                <w:lang w:val="en-US" w:eastAsia="zh-CN"/>
              </w:rPr>
            </w:pPr>
            <w:r>
              <w:rPr>
                <w:rFonts w:hint="eastAsia" w:ascii="宋体" w:hAnsi="宋体" w:eastAsia="宋体" w:cs="宋体"/>
                <w:b/>
                <w:bCs/>
                <w:color w:val="auto"/>
                <w:kern w:val="0"/>
                <w:sz w:val="21"/>
                <w:szCs w:val="21"/>
                <w:vertAlign w:val="baseline"/>
                <w:lang w:val="en-US" w:eastAsia="zh-CN"/>
              </w:rPr>
              <w:t>（二）免费保修期外售后服务要求</w:t>
            </w:r>
          </w:p>
        </w:tc>
      </w:tr>
      <w:tr w14:paraId="4B204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559E84CE">
            <w:pPr>
              <w:jc w:val="center"/>
              <w:rPr>
                <w:rFonts w:hint="default" w:ascii="宋体" w:hAnsi="宋体" w:eastAsia="宋体" w:cs="宋体"/>
                <w:b/>
                <w:bCs/>
                <w:color w:val="auto"/>
                <w:kern w:val="0"/>
                <w:sz w:val="21"/>
                <w:szCs w:val="21"/>
                <w:vertAlign w:val="baseline"/>
                <w:lang w:val="en-US" w:eastAsia="zh-CN"/>
              </w:rPr>
            </w:pPr>
            <w:r>
              <w:rPr>
                <w:rFonts w:hint="eastAsia" w:ascii="宋体" w:hAnsi="宋体" w:eastAsia="宋体" w:cs="宋体"/>
                <w:color w:val="auto"/>
                <w:sz w:val="21"/>
                <w:szCs w:val="21"/>
              </w:rPr>
              <w:t>1</w:t>
            </w:r>
          </w:p>
        </w:tc>
        <w:tc>
          <w:tcPr>
            <w:tcW w:w="1845" w:type="dxa"/>
            <w:vAlign w:val="center"/>
          </w:tcPr>
          <w:p w14:paraId="47BF8C7B">
            <w:pPr>
              <w:jc w:val="center"/>
              <w:rPr>
                <w:rFonts w:hint="default" w:ascii="宋体" w:hAnsi="宋体" w:eastAsia="宋体" w:cs="宋体"/>
                <w:b/>
                <w:bCs/>
                <w:color w:val="auto"/>
                <w:kern w:val="0"/>
                <w:sz w:val="21"/>
                <w:szCs w:val="21"/>
                <w:vertAlign w:val="baseline"/>
                <w:lang w:val="en-US" w:eastAsia="zh-CN"/>
              </w:rPr>
            </w:pPr>
            <w:r>
              <w:rPr>
                <w:rFonts w:hint="eastAsia" w:ascii="宋体" w:hAnsi="宋体" w:eastAsia="宋体" w:cs="宋体"/>
                <w:color w:val="auto"/>
                <w:sz w:val="21"/>
                <w:szCs w:val="21"/>
              </w:rPr>
              <w:t>免费保修期外售后服务</w:t>
            </w:r>
          </w:p>
        </w:tc>
        <w:tc>
          <w:tcPr>
            <w:tcW w:w="6244" w:type="dxa"/>
            <w:vAlign w:val="center"/>
          </w:tcPr>
          <w:p w14:paraId="452D9164">
            <w:pPr>
              <w:rPr>
                <w:rFonts w:hint="default" w:ascii="宋体" w:hAnsi="宋体" w:eastAsia="宋体" w:cs="宋体"/>
                <w:b/>
                <w:bCs/>
                <w:color w:val="auto"/>
                <w:kern w:val="0"/>
                <w:sz w:val="21"/>
                <w:szCs w:val="21"/>
                <w:vertAlign w:val="baseline"/>
                <w:lang w:val="en-US" w:eastAsia="zh-CN"/>
              </w:rPr>
            </w:pPr>
            <w:r>
              <w:rPr>
                <w:rFonts w:hint="eastAsia" w:ascii="宋体" w:hAnsi="宋体" w:eastAsia="宋体" w:cs="宋体"/>
                <w:color w:val="auto"/>
                <w:sz w:val="21"/>
                <w:szCs w:val="21"/>
              </w:rPr>
              <w:t>免费保修期满后，中标人负责为采购人提供最低出厂价格的各类备件的维护更换服务，负责终身优惠维修，只收取维修成本费。</w:t>
            </w:r>
          </w:p>
        </w:tc>
      </w:tr>
      <w:tr w14:paraId="05AA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gridSpan w:val="3"/>
          </w:tcPr>
          <w:p w14:paraId="3CCAEF5D">
            <w:pPr>
              <w:pStyle w:val="21"/>
              <w:numPr>
                <w:ilvl w:val="0"/>
                <w:numId w:val="0"/>
              </w:numPr>
              <w:spacing w:line="240" w:lineRule="auto"/>
              <w:jc w:val="left"/>
              <w:rPr>
                <w:rFonts w:hint="default" w:ascii="宋体" w:hAnsi="宋体" w:eastAsia="宋体" w:cs="宋体"/>
                <w:b/>
                <w:bCs/>
                <w:color w:val="auto"/>
                <w:kern w:val="0"/>
                <w:sz w:val="21"/>
                <w:szCs w:val="21"/>
                <w:vertAlign w:val="baseline"/>
                <w:lang w:val="en-US" w:eastAsia="zh-CN"/>
              </w:rPr>
            </w:pPr>
            <w:r>
              <w:rPr>
                <w:rFonts w:hint="eastAsia" w:ascii="宋体" w:hAnsi="宋体" w:eastAsia="宋体" w:cs="宋体"/>
                <w:b/>
                <w:color w:val="auto"/>
                <w:sz w:val="21"/>
                <w:szCs w:val="21"/>
              </w:rPr>
              <w:t>（三）其他商务要求</w:t>
            </w:r>
          </w:p>
        </w:tc>
      </w:tr>
      <w:tr w14:paraId="0779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Merge w:val="restart"/>
            <w:shd w:val="clear" w:color="auto" w:fill="auto"/>
            <w:vAlign w:val="center"/>
          </w:tcPr>
          <w:p w14:paraId="0E9C90E8">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default" w:ascii="宋体" w:hAnsi="宋体" w:eastAsia="宋体" w:cs="宋体"/>
                <w:b/>
                <w:bCs/>
                <w:color w:val="auto"/>
                <w:kern w:val="0"/>
                <w:sz w:val="21"/>
                <w:szCs w:val="21"/>
                <w:vertAlign w:val="baseline"/>
                <w:lang w:val="en-US" w:eastAsia="zh-CN"/>
              </w:rPr>
            </w:pPr>
            <w:r>
              <w:rPr>
                <w:rFonts w:hint="eastAsia" w:ascii="宋体" w:hAnsi="宋体" w:eastAsia="宋体" w:cs="宋体"/>
                <w:color w:val="auto"/>
                <w:sz w:val="21"/>
                <w:szCs w:val="21"/>
              </w:rPr>
              <w:t>1</w:t>
            </w:r>
          </w:p>
        </w:tc>
        <w:tc>
          <w:tcPr>
            <w:tcW w:w="1845" w:type="dxa"/>
            <w:vMerge w:val="restart"/>
            <w:shd w:val="clear" w:color="auto" w:fill="auto"/>
            <w:vAlign w:val="center"/>
          </w:tcPr>
          <w:p w14:paraId="3432F94B">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default" w:ascii="宋体" w:hAnsi="宋体" w:eastAsia="宋体" w:cs="宋体"/>
                <w:b/>
                <w:bCs/>
                <w:color w:val="auto"/>
                <w:kern w:val="0"/>
                <w:sz w:val="21"/>
                <w:szCs w:val="21"/>
                <w:vertAlign w:val="baseline"/>
                <w:lang w:val="en-US" w:eastAsia="zh-CN"/>
              </w:rPr>
            </w:pPr>
            <w:r>
              <w:rPr>
                <w:rFonts w:hint="eastAsia" w:ascii="宋体" w:hAnsi="宋体" w:eastAsia="宋体" w:cs="宋体"/>
                <w:color w:val="auto"/>
                <w:sz w:val="21"/>
                <w:szCs w:val="21"/>
              </w:rPr>
              <w:t>关于交货</w:t>
            </w:r>
          </w:p>
        </w:tc>
        <w:tc>
          <w:tcPr>
            <w:tcW w:w="6244" w:type="dxa"/>
            <w:shd w:val="clear" w:color="auto" w:fill="auto"/>
            <w:vAlign w:val="center"/>
          </w:tcPr>
          <w:p w14:paraId="1C94DC7C">
            <w:pPr>
              <w:spacing w:line="240" w:lineRule="auto"/>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1.1交货地点：</w:t>
            </w:r>
            <w:r>
              <w:rPr>
                <w:rFonts w:hint="eastAsia" w:ascii="宋体" w:hAnsi="宋体" w:eastAsia="宋体" w:cs="宋体"/>
                <w:bCs/>
                <w:color w:val="auto"/>
                <w:sz w:val="21"/>
                <w:szCs w:val="21"/>
                <w:lang w:val="en-US" w:eastAsia="zh-CN"/>
              </w:rPr>
              <w:t>深圳市第二实验学校明远高中</w:t>
            </w:r>
            <w:r>
              <w:rPr>
                <w:rFonts w:hint="eastAsia" w:ascii="宋体" w:hAnsi="宋体" w:eastAsia="宋体" w:cs="宋体"/>
                <w:bCs/>
                <w:color w:val="auto"/>
                <w:sz w:val="21"/>
                <w:szCs w:val="21"/>
              </w:rPr>
              <w:t>。</w:t>
            </w:r>
          </w:p>
        </w:tc>
      </w:tr>
      <w:tr w14:paraId="2D8C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Merge w:val="continue"/>
          </w:tcPr>
          <w:p w14:paraId="2C51B25D">
            <w:pPr>
              <w:pStyle w:val="21"/>
              <w:numPr>
                <w:ilvl w:val="0"/>
                <w:numId w:val="0"/>
              </w:numPr>
              <w:spacing w:line="240" w:lineRule="auto"/>
              <w:jc w:val="left"/>
              <w:rPr>
                <w:rFonts w:hint="default" w:ascii="宋体" w:hAnsi="宋体" w:eastAsia="宋体" w:cs="宋体"/>
                <w:b/>
                <w:bCs/>
                <w:color w:val="auto"/>
                <w:kern w:val="0"/>
                <w:sz w:val="21"/>
                <w:szCs w:val="21"/>
                <w:vertAlign w:val="baseline"/>
                <w:lang w:val="en-US" w:eastAsia="zh-CN"/>
              </w:rPr>
            </w:pPr>
          </w:p>
        </w:tc>
        <w:tc>
          <w:tcPr>
            <w:tcW w:w="1845" w:type="dxa"/>
            <w:vMerge w:val="continue"/>
          </w:tcPr>
          <w:p w14:paraId="7B35C1E1">
            <w:pPr>
              <w:pStyle w:val="21"/>
              <w:numPr>
                <w:ilvl w:val="0"/>
                <w:numId w:val="0"/>
              </w:numPr>
              <w:spacing w:line="240" w:lineRule="auto"/>
              <w:jc w:val="left"/>
              <w:rPr>
                <w:rFonts w:hint="default" w:ascii="宋体" w:hAnsi="宋体" w:eastAsia="宋体" w:cs="宋体"/>
                <w:b/>
                <w:bCs/>
                <w:color w:val="auto"/>
                <w:kern w:val="0"/>
                <w:sz w:val="21"/>
                <w:szCs w:val="21"/>
                <w:vertAlign w:val="baseline"/>
                <w:lang w:val="en-US" w:eastAsia="zh-CN"/>
              </w:rPr>
            </w:pPr>
          </w:p>
        </w:tc>
        <w:tc>
          <w:tcPr>
            <w:tcW w:w="6244" w:type="dxa"/>
            <w:shd w:val="clear" w:color="auto" w:fill="auto"/>
            <w:vAlign w:val="center"/>
          </w:tcPr>
          <w:p w14:paraId="401CF8CA">
            <w:pPr>
              <w:spacing w:line="240" w:lineRule="auto"/>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1.2投标人必须承担的设备运输、安装调试、验收检测和提供设备操作说明书、图纸等其他类似的义务。</w:t>
            </w:r>
          </w:p>
        </w:tc>
      </w:tr>
      <w:tr w14:paraId="04CE9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Merge w:val="continue"/>
          </w:tcPr>
          <w:p w14:paraId="07E49A7D">
            <w:pPr>
              <w:pStyle w:val="21"/>
              <w:numPr>
                <w:ilvl w:val="0"/>
                <w:numId w:val="0"/>
              </w:numPr>
              <w:spacing w:line="240" w:lineRule="auto"/>
              <w:jc w:val="left"/>
              <w:rPr>
                <w:rFonts w:hint="default" w:ascii="宋体" w:hAnsi="宋体" w:eastAsia="宋体" w:cs="宋体"/>
                <w:b/>
                <w:bCs/>
                <w:color w:val="auto"/>
                <w:kern w:val="0"/>
                <w:sz w:val="21"/>
                <w:szCs w:val="21"/>
                <w:vertAlign w:val="baseline"/>
                <w:lang w:val="en-US" w:eastAsia="zh-CN"/>
              </w:rPr>
            </w:pPr>
          </w:p>
        </w:tc>
        <w:tc>
          <w:tcPr>
            <w:tcW w:w="1845" w:type="dxa"/>
            <w:vMerge w:val="continue"/>
          </w:tcPr>
          <w:p w14:paraId="0EE64369">
            <w:pPr>
              <w:pStyle w:val="21"/>
              <w:numPr>
                <w:ilvl w:val="0"/>
                <w:numId w:val="0"/>
              </w:numPr>
              <w:spacing w:line="240" w:lineRule="auto"/>
              <w:jc w:val="left"/>
              <w:rPr>
                <w:rFonts w:hint="default" w:ascii="宋体" w:hAnsi="宋体" w:eastAsia="宋体" w:cs="宋体"/>
                <w:b/>
                <w:bCs/>
                <w:color w:val="auto"/>
                <w:kern w:val="0"/>
                <w:sz w:val="21"/>
                <w:szCs w:val="21"/>
                <w:vertAlign w:val="baseline"/>
                <w:lang w:val="en-US" w:eastAsia="zh-CN"/>
              </w:rPr>
            </w:pPr>
          </w:p>
        </w:tc>
        <w:tc>
          <w:tcPr>
            <w:tcW w:w="6244" w:type="dxa"/>
            <w:shd w:val="clear" w:color="auto" w:fill="auto"/>
            <w:vAlign w:val="center"/>
          </w:tcPr>
          <w:p w14:paraId="71B07460">
            <w:pPr>
              <w:spacing w:line="240" w:lineRule="auto"/>
              <w:jc w:val="left"/>
              <w:rPr>
                <w:rFonts w:hint="default" w:ascii="宋体" w:hAnsi="宋体" w:eastAsia="宋体" w:cs="宋体"/>
                <w:b/>
                <w:bCs/>
                <w:color w:val="auto"/>
                <w:kern w:val="2"/>
                <w:sz w:val="21"/>
                <w:szCs w:val="21"/>
                <w:lang w:val="en-US" w:eastAsia="zh-CN" w:bidi="ar-SA"/>
              </w:rPr>
            </w:pPr>
            <w:r>
              <w:rPr>
                <w:rFonts w:hint="eastAsia" w:ascii="宋体" w:hAnsi="宋体" w:cs="宋体"/>
                <w:b/>
                <w:bCs/>
                <w:color w:val="FF0000"/>
                <w:szCs w:val="21"/>
                <w:highlight w:val="none"/>
                <w:lang w:val="zh-CN"/>
              </w:rPr>
              <w:t>★</w:t>
            </w:r>
            <w:r>
              <w:rPr>
                <w:rFonts w:hint="eastAsia" w:ascii="宋体" w:hAnsi="宋体" w:eastAsia="宋体" w:cs="宋体"/>
                <w:b/>
                <w:bCs/>
                <w:color w:val="auto"/>
                <w:sz w:val="21"/>
                <w:szCs w:val="21"/>
              </w:rPr>
              <w:t>1.3签订合同后</w:t>
            </w:r>
            <w:r>
              <w:rPr>
                <w:rFonts w:hint="eastAsia" w:ascii="宋体" w:hAnsi="宋体" w:cs="宋体"/>
                <w:b/>
                <w:bCs/>
                <w:color w:val="auto"/>
                <w:sz w:val="21"/>
                <w:szCs w:val="21"/>
                <w:u w:val="single"/>
                <w:lang w:val="en-US" w:eastAsia="zh-CN"/>
              </w:rPr>
              <w:t>45</w:t>
            </w:r>
            <w:r>
              <w:rPr>
                <w:rFonts w:hint="eastAsia" w:ascii="宋体" w:hAnsi="宋体" w:eastAsia="宋体" w:cs="宋体"/>
                <w:b/>
                <w:bCs/>
                <w:color w:val="auto"/>
                <w:sz w:val="21"/>
                <w:szCs w:val="21"/>
              </w:rPr>
              <w:t>天（日历日）内交货。</w:t>
            </w:r>
          </w:p>
        </w:tc>
      </w:tr>
      <w:tr w14:paraId="62E7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Merge w:val="restart"/>
            <w:shd w:val="clear" w:color="auto" w:fill="auto"/>
            <w:vAlign w:val="center"/>
          </w:tcPr>
          <w:p w14:paraId="3E973E48">
            <w:pPr>
              <w:keepNext w:val="0"/>
              <w:keepLines w:val="0"/>
              <w:pageBreakBefore w:val="0"/>
              <w:widowControl w:val="0"/>
              <w:kinsoku/>
              <w:wordWrap/>
              <w:overflowPunct/>
              <w:topLinePunct w:val="0"/>
              <w:autoSpaceDE/>
              <w:autoSpaceDN/>
              <w:bidi w:val="0"/>
              <w:adjustRightInd/>
              <w:snapToGrid/>
              <w:spacing w:line="1200" w:lineRule="auto"/>
              <w:jc w:val="center"/>
              <w:textAlignment w:val="auto"/>
              <w:rPr>
                <w:rFonts w:hint="default" w:ascii="宋体" w:hAnsi="宋体" w:eastAsia="宋体" w:cs="宋体"/>
                <w:b/>
                <w:bCs/>
                <w:color w:val="auto"/>
                <w:kern w:val="0"/>
                <w:sz w:val="21"/>
                <w:szCs w:val="21"/>
                <w:vertAlign w:val="baseline"/>
                <w:lang w:val="en-US" w:eastAsia="zh-CN"/>
              </w:rPr>
            </w:pPr>
            <w:r>
              <w:rPr>
                <w:rFonts w:hint="eastAsia" w:ascii="宋体" w:hAnsi="宋体" w:eastAsia="宋体" w:cs="宋体"/>
                <w:b/>
                <w:bCs/>
                <w:color w:val="auto"/>
                <w:sz w:val="21"/>
                <w:szCs w:val="21"/>
              </w:rPr>
              <w:t>2</w:t>
            </w:r>
          </w:p>
        </w:tc>
        <w:tc>
          <w:tcPr>
            <w:tcW w:w="1845" w:type="dxa"/>
            <w:vMerge w:val="restart"/>
            <w:shd w:val="clear" w:color="auto" w:fill="auto"/>
            <w:vAlign w:val="center"/>
          </w:tcPr>
          <w:p w14:paraId="07269A03">
            <w:pPr>
              <w:keepNext w:val="0"/>
              <w:keepLines w:val="0"/>
              <w:pageBreakBefore w:val="0"/>
              <w:widowControl w:val="0"/>
              <w:kinsoku/>
              <w:wordWrap/>
              <w:overflowPunct/>
              <w:topLinePunct w:val="0"/>
              <w:autoSpaceDE/>
              <w:autoSpaceDN/>
              <w:bidi w:val="0"/>
              <w:adjustRightInd/>
              <w:snapToGrid/>
              <w:spacing w:line="1200" w:lineRule="auto"/>
              <w:jc w:val="both"/>
              <w:textAlignment w:val="auto"/>
              <w:rPr>
                <w:rFonts w:hint="default" w:ascii="宋体" w:hAnsi="宋体" w:eastAsia="宋体" w:cs="宋体"/>
                <w:b/>
                <w:bCs/>
                <w:color w:val="auto"/>
                <w:kern w:val="0"/>
                <w:sz w:val="21"/>
                <w:szCs w:val="21"/>
                <w:vertAlign w:val="baseline"/>
                <w:lang w:val="en-US" w:eastAsia="zh-CN"/>
              </w:rPr>
            </w:pPr>
            <w:r>
              <w:rPr>
                <w:rFonts w:hint="eastAsia" w:ascii="宋体" w:hAnsi="宋体" w:cs="宋体"/>
                <w:b/>
                <w:bCs/>
                <w:color w:val="FF0000"/>
                <w:szCs w:val="21"/>
                <w:highlight w:val="none"/>
                <w:lang w:val="zh-CN"/>
              </w:rPr>
              <w:t>★</w:t>
            </w:r>
            <w:r>
              <w:rPr>
                <w:rFonts w:hint="eastAsia" w:ascii="宋体" w:hAnsi="宋体" w:eastAsia="宋体" w:cs="宋体"/>
                <w:b/>
                <w:bCs/>
                <w:color w:val="auto"/>
                <w:sz w:val="21"/>
                <w:szCs w:val="21"/>
              </w:rPr>
              <w:t>关于验收</w:t>
            </w:r>
          </w:p>
        </w:tc>
        <w:tc>
          <w:tcPr>
            <w:tcW w:w="6244" w:type="dxa"/>
            <w:shd w:val="clear" w:color="auto" w:fill="auto"/>
            <w:vAlign w:val="center"/>
          </w:tcPr>
          <w:p w14:paraId="24E2D13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rPr>
              <w:t>2.1</w:t>
            </w:r>
            <w:r>
              <w:rPr>
                <w:rFonts w:hint="eastAsia" w:ascii="宋体" w:hAnsi="宋体" w:eastAsia="宋体" w:cs="宋体"/>
                <w:b/>
                <w:bCs/>
                <w:color w:val="auto"/>
                <w:sz w:val="21"/>
                <w:szCs w:val="21"/>
                <w:lang w:val="en-US" w:eastAsia="zh-CN"/>
              </w:rPr>
              <w:t>中标</w:t>
            </w:r>
            <w:r>
              <w:rPr>
                <w:rFonts w:hint="eastAsia" w:ascii="宋体" w:hAnsi="宋体" w:eastAsia="宋体" w:cs="宋体"/>
                <w:b/>
                <w:bCs/>
                <w:color w:val="auto"/>
                <w:sz w:val="21"/>
                <w:szCs w:val="21"/>
              </w:rPr>
              <w:t>人货物经过双方检验认可后，签署验收报告，产品保修期自验收合格之日起算，由投标人提供产品保修文件。</w:t>
            </w:r>
          </w:p>
        </w:tc>
      </w:tr>
      <w:tr w14:paraId="7082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Merge w:val="continue"/>
          </w:tcPr>
          <w:p w14:paraId="6A845519">
            <w:pPr>
              <w:pStyle w:val="21"/>
              <w:numPr>
                <w:ilvl w:val="0"/>
                <w:numId w:val="0"/>
              </w:numPr>
              <w:spacing w:line="240" w:lineRule="auto"/>
              <w:jc w:val="left"/>
              <w:rPr>
                <w:rFonts w:hint="default" w:ascii="宋体" w:hAnsi="宋体" w:eastAsia="宋体" w:cs="宋体"/>
                <w:b/>
                <w:bCs/>
                <w:color w:val="auto"/>
                <w:kern w:val="0"/>
                <w:sz w:val="21"/>
                <w:szCs w:val="21"/>
                <w:vertAlign w:val="baseline"/>
                <w:lang w:val="en-US" w:eastAsia="zh-CN"/>
              </w:rPr>
            </w:pPr>
          </w:p>
        </w:tc>
        <w:tc>
          <w:tcPr>
            <w:tcW w:w="1845" w:type="dxa"/>
            <w:vMerge w:val="continue"/>
          </w:tcPr>
          <w:p w14:paraId="4E3F20EF">
            <w:pPr>
              <w:pStyle w:val="21"/>
              <w:numPr>
                <w:ilvl w:val="0"/>
                <w:numId w:val="0"/>
              </w:numPr>
              <w:spacing w:line="240" w:lineRule="auto"/>
              <w:jc w:val="left"/>
              <w:rPr>
                <w:rFonts w:hint="default" w:ascii="宋体" w:hAnsi="宋体" w:eastAsia="宋体" w:cs="宋体"/>
                <w:b/>
                <w:bCs/>
                <w:color w:val="auto"/>
                <w:kern w:val="0"/>
                <w:sz w:val="21"/>
                <w:szCs w:val="21"/>
                <w:vertAlign w:val="baseline"/>
                <w:lang w:val="en-US" w:eastAsia="zh-CN"/>
              </w:rPr>
            </w:pPr>
          </w:p>
        </w:tc>
        <w:tc>
          <w:tcPr>
            <w:tcW w:w="6244" w:type="dxa"/>
            <w:shd w:val="clear" w:color="auto" w:fill="auto"/>
            <w:vAlign w:val="center"/>
          </w:tcPr>
          <w:p w14:paraId="6A29956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2.2当满足以下条件时，签发货物验收报告：</w:t>
            </w:r>
          </w:p>
          <w:p w14:paraId="1323EE09">
            <w:pPr>
              <w:keepNext w:val="0"/>
              <w:keepLines w:val="0"/>
              <w:pageBreakBefore w:val="0"/>
              <w:widowControl w:val="0"/>
              <w:tabs>
                <w:tab w:val="left" w:pos="1260"/>
              </w:tabs>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a、中标人已按照合同规定提供了全部产品及完整的技术资料。</w:t>
            </w:r>
          </w:p>
          <w:p w14:paraId="18EC9713">
            <w:pPr>
              <w:keepNext w:val="0"/>
              <w:keepLines w:val="0"/>
              <w:pageBreakBefore w:val="0"/>
              <w:widowControl w:val="0"/>
              <w:tabs>
                <w:tab w:val="left" w:pos="1260"/>
              </w:tabs>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b、货物符合招标文件技术规格书的要求，性能满足要求。</w:t>
            </w:r>
          </w:p>
          <w:p w14:paraId="504D823D">
            <w:pPr>
              <w:keepNext w:val="0"/>
              <w:keepLines w:val="0"/>
              <w:pageBreakBefore w:val="0"/>
              <w:widowControl w:val="0"/>
              <w:tabs>
                <w:tab w:val="left" w:pos="1260"/>
              </w:tabs>
              <w:kinsoku/>
              <w:wordWrap/>
              <w:overflowPunct/>
              <w:topLinePunct w:val="0"/>
              <w:autoSpaceDE/>
              <w:autoSpaceDN/>
              <w:bidi w:val="0"/>
              <w:adjustRightInd/>
              <w:snapToGrid/>
              <w:spacing w:line="240" w:lineRule="auto"/>
              <w:textAlignment w:val="auto"/>
              <w:rPr>
                <w:rFonts w:hint="default"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rPr>
              <w:t>c、货物具备产品合格证。</w:t>
            </w:r>
          </w:p>
        </w:tc>
      </w:tr>
      <w:tr w14:paraId="6A327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Merge w:val="restart"/>
            <w:shd w:val="clear" w:color="auto" w:fill="auto"/>
            <w:vAlign w:val="center"/>
          </w:tcPr>
          <w:p w14:paraId="014291A7">
            <w:pPr>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rPr>
              <w:t>3</w:t>
            </w:r>
          </w:p>
          <w:p w14:paraId="3E03C9DA">
            <w:pPr>
              <w:pStyle w:val="21"/>
              <w:numPr>
                <w:ilvl w:val="0"/>
                <w:numId w:val="0"/>
              </w:numPr>
              <w:spacing w:line="240" w:lineRule="auto"/>
              <w:jc w:val="left"/>
              <w:rPr>
                <w:rFonts w:hint="default" w:ascii="宋体" w:hAnsi="宋体" w:eastAsia="宋体" w:cs="宋体"/>
                <w:b/>
                <w:bCs/>
                <w:color w:val="auto"/>
                <w:kern w:val="0"/>
                <w:sz w:val="21"/>
                <w:szCs w:val="21"/>
                <w:vertAlign w:val="baseline"/>
                <w:lang w:val="en-US" w:eastAsia="zh-CN"/>
              </w:rPr>
            </w:pPr>
          </w:p>
        </w:tc>
        <w:tc>
          <w:tcPr>
            <w:tcW w:w="1845" w:type="dxa"/>
            <w:vMerge w:val="restart"/>
            <w:shd w:val="clear" w:color="auto" w:fill="auto"/>
            <w:vAlign w:val="center"/>
          </w:tcPr>
          <w:p w14:paraId="61AC2F9F">
            <w:pPr>
              <w:jc w:val="center"/>
              <w:rPr>
                <w:rFonts w:hint="eastAsia" w:ascii="宋体" w:hAnsi="宋体" w:eastAsia="宋体" w:cs="宋体"/>
                <w:b/>
                <w:bCs/>
                <w:color w:val="auto"/>
                <w:kern w:val="2"/>
                <w:sz w:val="21"/>
                <w:szCs w:val="21"/>
                <w:lang w:val="en-US" w:eastAsia="zh-CN" w:bidi="ar-SA"/>
              </w:rPr>
            </w:pPr>
            <w:r>
              <w:rPr>
                <w:rFonts w:hint="eastAsia" w:ascii="宋体" w:hAnsi="宋体" w:cs="宋体"/>
                <w:b/>
                <w:bCs/>
                <w:color w:val="FF0000"/>
                <w:szCs w:val="21"/>
                <w:highlight w:val="none"/>
                <w:lang w:val="zh-CN"/>
              </w:rPr>
              <w:t>★</w:t>
            </w:r>
            <w:r>
              <w:rPr>
                <w:rFonts w:hint="eastAsia" w:ascii="宋体" w:hAnsi="宋体" w:eastAsia="宋体" w:cs="宋体"/>
                <w:b/>
                <w:bCs/>
                <w:color w:val="auto"/>
                <w:sz w:val="21"/>
                <w:szCs w:val="21"/>
              </w:rPr>
              <w:t>关于违约</w:t>
            </w:r>
          </w:p>
          <w:p w14:paraId="397A28C7">
            <w:pPr>
              <w:pStyle w:val="21"/>
              <w:numPr>
                <w:ilvl w:val="0"/>
                <w:numId w:val="0"/>
              </w:numPr>
              <w:spacing w:line="240" w:lineRule="auto"/>
              <w:jc w:val="left"/>
              <w:rPr>
                <w:rFonts w:hint="default" w:ascii="宋体" w:hAnsi="宋体" w:eastAsia="宋体" w:cs="宋体"/>
                <w:b/>
                <w:bCs/>
                <w:color w:val="auto"/>
                <w:kern w:val="0"/>
                <w:sz w:val="21"/>
                <w:szCs w:val="21"/>
                <w:vertAlign w:val="baseline"/>
                <w:lang w:val="en-US" w:eastAsia="zh-CN"/>
              </w:rPr>
            </w:pPr>
          </w:p>
        </w:tc>
        <w:tc>
          <w:tcPr>
            <w:tcW w:w="6244" w:type="dxa"/>
            <w:shd w:val="clear" w:color="auto" w:fill="auto"/>
            <w:vAlign w:val="center"/>
          </w:tcPr>
          <w:p w14:paraId="0D6010A6">
            <w:pPr>
              <w:rPr>
                <w:rFonts w:hint="default"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rPr>
              <w:t>3.1中标人不能交货的，需偿付不能交货部分货款的</w:t>
            </w:r>
            <w:r>
              <w:rPr>
                <w:rFonts w:hint="eastAsia" w:ascii="宋体" w:hAnsi="宋体" w:eastAsia="宋体" w:cs="宋体"/>
                <w:b/>
                <w:bCs/>
                <w:color w:val="auto"/>
                <w:sz w:val="21"/>
                <w:szCs w:val="21"/>
                <w:u w:val="single"/>
                <w:lang w:val="en-US" w:eastAsia="zh-CN"/>
              </w:rPr>
              <w:t>5</w:t>
            </w:r>
            <w:r>
              <w:rPr>
                <w:rFonts w:hint="eastAsia" w:ascii="宋体" w:hAnsi="宋体" w:eastAsia="宋体" w:cs="宋体"/>
                <w:b/>
                <w:bCs/>
                <w:color w:val="auto"/>
                <w:sz w:val="21"/>
                <w:szCs w:val="21"/>
              </w:rPr>
              <w:t>%的违约金并按主管部门相关规定处理。</w:t>
            </w:r>
          </w:p>
        </w:tc>
      </w:tr>
      <w:tr w14:paraId="13E5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Merge w:val="continue"/>
          </w:tcPr>
          <w:p w14:paraId="1B3E4335">
            <w:pPr>
              <w:pStyle w:val="21"/>
              <w:numPr>
                <w:ilvl w:val="0"/>
                <w:numId w:val="0"/>
              </w:numPr>
              <w:spacing w:line="240" w:lineRule="auto"/>
              <w:jc w:val="left"/>
              <w:rPr>
                <w:rFonts w:hint="default" w:ascii="宋体" w:hAnsi="宋体" w:eastAsia="宋体" w:cs="宋体"/>
                <w:b/>
                <w:bCs/>
                <w:color w:val="auto"/>
                <w:kern w:val="0"/>
                <w:sz w:val="21"/>
                <w:szCs w:val="21"/>
                <w:vertAlign w:val="baseline"/>
                <w:lang w:val="en-US" w:eastAsia="zh-CN"/>
              </w:rPr>
            </w:pPr>
          </w:p>
        </w:tc>
        <w:tc>
          <w:tcPr>
            <w:tcW w:w="1845" w:type="dxa"/>
            <w:vMerge w:val="continue"/>
          </w:tcPr>
          <w:p w14:paraId="72C4565B">
            <w:pPr>
              <w:pStyle w:val="21"/>
              <w:numPr>
                <w:ilvl w:val="0"/>
                <w:numId w:val="0"/>
              </w:numPr>
              <w:spacing w:line="240" w:lineRule="auto"/>
              <w:jc w:val="left"/>
              <w:rPr>
                <w:rFonts w:hint="default" w:ascii="宋体" w:hAnsi="宋体" w:eastAsia="宋体" w:cs="宋体"/>
                <w:b/>
                <w:bCs/>
                <w:color w:val="auto"/>
                <w:kern w:val="0"/>
                <w:sz w:val="21"/>
                <w:szCs w:val="21"/>
                <w:vertAlign w:val="baseline"/>
                <w:lang w:val="en-US" w:eastAsia="zh-CN"/>
              </w:rPr>
            </w:pPr>
          </w:p>
        </w:tc>
        <w:tc>
          <w:tcPr>
            <w:tcW w:w="6244" w:type="dxa"/>
            <w:shd w:val="clear" w:color="auto" w:fill="auto"/>
            <w:vAlign w:val="center"/>
          </w:tcPr>
          <w:p w14:paraId="2A250C04">
            <w:pPr>
              <w:rPr>
                <w:rFonts w:hint="default"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rPr>
              <w:t>3.2中标人逾期交货的，按主管部门相关规定处理。</w:t>
            </w:r>
          </w:p>
        </w:tc>
      </w:tr>
      <w:tr w14:paraId="06AB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Merge w:val="continue"/>
          </w:tcPr>
          <w:p w14:paraId="49AEB3C6">
            <w:pPr>
              <w:pStyle w:val="21"/>
              <w:numPr>
                <w:ilvl w:val="0"/>
                <w:numId w:val="0"/>
              </w:numPr>
              <w:spacing w:line="240" w:lineRule="auto"/>
              <w:jc w:val="left"/>
              <w:rPr>
                <w:rFonts w:hint="default" w:ascii="宋体" w:hAnsi="宋体" w:eastAsia="宋体" w:cs="宋体"/>
                <w:b/>
                <w:bCs/>
                <w:color w:val="auto"/>
                <w:kern w:val="0"/>
                <w:sz w:val="21"/>
                <w:szCs w:val="21"/>
                <w:vertAlign w:val="baseline"/>
                <w:lang w:val="en-US" w:eastAsia="zh-CN"/>
              </w:rPr>
            </w:pPr>
          </w:p>
        </w:tc>
        <w:tc>
          <w:tcPr>
            <w:tcW w:w="1845" w:type="dxa"/>
            <w:vMerge w:val="continue"/>
          </w:tcPr>
          <w:p w14:paraId="2C472195">
            <w:pPr>
              <w:pStyle w:val="21"/>
              <w:numPr>
                <w:ilvl w:val="0"/>
                <w:numId w:val="0"/>
              </w:numPr>
              <w:spacing w:line="240" w:lineRule="auto"/>
              <w:jc w:val="left"/>
              <w:rPr>
                <w:rFonts w:hint="default" w:ascii="宋体" w:hAnsi="宋体" w:eastAsia="宋体" w:cs="宋体"/>
                <w:b/>
                <w:bCs/>
                <w:color w:val="auto"/>
                <w:kern w:val="0"/>
                <w:sz w:val="21"/>
                <w:szCs w:val="21"/>
                <w:vertAlign w:val="baseline"/>
                <w:lang w:val="en-US" w:eastAsia="zh-CN"/>
              </w:rPr>
            </w:pPr>
          </w:p>
        </w:tc>
        <w:tc>
          <w:tcPr>
            <w:tcW w:w="6244" w:type="dxa"/>
            <w:shd w:val="clear" w:color="auto" w:fill="auto"/>
            <w:vAlign w:val="center"/>
          </w:tcPr>
          <w:p w14:paraId="1638C729">
            <w:pPr>
              <w:rPr>
                <w:rFonts w:hint="default"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rPr>
              <w:t>3.3中标人所交付产品、工程或服务不符合其投标承诺的，或在投标阶段为了中标而盲目虚假承诺、低价恶性竞争，在履约阶段则通过偷工减料、以次充好而获取利润的，按主管部门相关规定处理。</w:t>
            </w:r>
          </w:p>
        </w:tc>
      </w:tr>
      <w:tr w14:paraId="15C08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shd w:val="clear" w:color="auto" w:fill="auto"/>
            <w:vAlign w:val="center"/>
          </w:tcPr>
          <w:p w14:paraId="576134A2">
            <w:pPr>
              <w:jc w:val="center"/>
              <w:rPr>
                <w:rFonts w:hint="default"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rPr>
              <w:t>4</w:t>
            </w:r>
          </w:p>
        </w:tc>
        <w:tc>
          <w:tcPr>
            <w:tcW w:w="1845" w:type="dxa"/>
            <w:shd w:val="clear" w:color="auto" w:fill="auto"/>
            <w:vAlign w:val="center"/>
          </w:tcPr>
          <w:p w14:paraId="03FA74C6">
            <w:pPr>
              <w:jc w:val="center"/>
              <w:rPr>
                <w:rFonts w:hint="default" w:ascii="宋体" w:hAnsi="宋体" w:eastAsia="宋体" w:cs="宋体"/>
                <w:b/>
                <w:bCs/>
                <w:color w:val="auto"/>
                <w:kern w:val="2"/>
                <w:sz w:val="21"/>
                <w:szCs w:val="21"/>
                <w:lang w:val="en-US" w:eastAsia="zh-CN" w:bidi="ar-SA"/>
              </w:rPr>
            </w:pPr>
            <w:r>
              <w:rPr>
                <w:rFonts w:hint="eastAsia" w:ascii="宋体" w:hAnsi="宋体" w:cs="宋体"/>
                <w:b/>
                <w:bCs/>
                <w:color w:val="FF0000"/>
                <w:szCs w:val="21"/>
                <w:highlight w:val="none"/>
                <w:lang w:val="zh-CN"/>
              </w:rPr>
              <w:t>★</w:t>
            </w:r>
            <w:r>
              <w:rPr>
                <w:rFonts w:hint="eastAsia" w:ascii="宋体" w:hAnsi="宋体" w:eastAsia="宋体" w:cs="宋体"/>
                <w:b/>
                <w:bCs/>
                <w:color w:val="auto"/>
                <w:sz w:val="21"/>
                <w:szCs w:val="21"/>
              </w:rPr>
              <w:t>关于付款</w:t>
            </w:r>
          </w:p>
        </w:tc>
        <w:tc>
          <w:tcPr>
            <w:tcW w:w="6244" w:type="dxa"/>
            <w:shd w:val="clear" w:color="auto" w:fill="auto"/>
            <w:vAlign w:val="center"/>
          </w:tcPr>
          <w:p w14:paraId="1895A322">
            <w:pPr>
              <w:rPr>
                <w:rFonts w:hint="default"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rPr>
              <w:t>所有设备安装完成并验收合格后，采购人支付合同</w:t>
            </w:r>
            <w:r>
              <w:rPr>
                <w:rFonts w:hint="eastAsia" w:ascii="宋体" w:hAnsi="宋体" w:eastAsia="宋体" w:cs="宋体"/>
                <w:b/>
                <w:bCs/>
                <w:color w:val="auto"/>
                <w:sz w:val="21"/>
                <w:szCs w:val="21"/>
                <w:lang w:val="en-US" w:eastAsia="zh-CN"/>
              </w:rPr>
              <w:t>10</w:t>
            </w:r>
            <w:r>
              <w:rPr>
                <w:rFonts w:hint="eastAsia" w:ascii="宋体" w:hAnsi="宋体" w:eastAsia="宋体" w:cs="宋体"/>
                <w:b/>
                <w:bCs/>
                <w:color w:val="auto"/>
                <w:sz w:val="21"/>
                <w:szCs w:val="21"/>
              </w:rPr>
              <w:t>0%给中标人。付款</w:t>
            </w:r>
            <w:r>
              <w:rPr>
                <w:rFonts w:hint="eastAsia" w:ascii="宋体" w:hAnsi="宋体" w:eastAsia="宋体" w:cs="宋体"/>
                <w:b/>
                <w:bCs/>
                <w:color w:val="auto"/>
                <w:sz w:val="21"/>
                <w:szCs w:val="21"/>
                <w:lang w:val="en-US" w:eastAsia="zh-CN"/>
              </w:rPr>
              <w:t>前</w:t>
            </w:r>
            <w:r>
              <w:rPr>
                <w:rFonts w:hint="eastAsia" w:ascii="宋体" w:hAnsi="宋体" w:eastAsia="宋体" w:cs="宋体"/>
                <w:b/>
                <w:bCs/>
                <w:color w:val="auto"/>
                <w:sz w:val="21"/>
                <w:szCs w:val="21"/>
              </w:rPr>
              <w:t>中标人需提供相应额度的正规发票给采购人</w:t>
            </w:r>
            <w:r>
              <w:rPr>
                <w:rFonts w:hint="eastAsia" w:ascii="宋体" w:hAnsi="宋体" w:eastAsia="宋体" w:cs="宋体"/>
                <w:b/>
                <w:bCs/>
                <w:color w:val="auto"/>
                <w:sz w:val="21"/>
                <w:szCs w:val="21"/>
                <w:lang w:eastAsia="zh-CN"/>
              </w:rPr>
              <w:t>。</w:t>
            </w:r>
          </w:p>
        </w:tc>
      </w:tr>
      <w:tr w14:paraId="6C6C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shd w:val="clear" w:color="auto" w:fill="auto"/>
            <w:vAlign w:val="center"/>
          </w:tcPr>
          <w:p w14:paraId="6DEAB5D1">
            <w:pPr>
              <w:jc w:val="center"/>
              <w:rPr>
                <w:rFonts w:hint="default"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rPr>
              <w:t>5</w:t>
            </w:r>
          </w:p>
        </w:tc>
        <w:tc>
          <w:tcPr>
            <w:tcW w:w="1845" w:type="dxa"/>
            <w:shd w:val="clear" w:color="auto" w:fill="auto"/>
            <w:vAlign w:val="center"/>
          </w:tcPr>
          <w:p w14:paraId="112648F6">
            <w:pPr>
              <w:spacing w:line="240" w:lineRule="auto"/>
              <w:jc w:val="center"/>
              <w:rPr>
                <w:rFonts w:hint="default" w:ascii="宋体" w:hAnsi="宋体" w:eastAsia="宋体" w:cs="宋体"/>
                <w:b/>
                <w:bCs/>
                <w:color w:val="auto"/>
                <w:kern w:val="2"/>
                <w:sz w:val="21"/>
                <w:szCs w:val="21"/>
                <w:lang w:val="en-US" w:eastAsia="zh-CN" w:bidi="ar-SA"/>
              </w:rPr>
            </w:pPr>
            <w:r>
              <w:rPr>
                <w:rFonts w:hint="eastAsia" w:ascii="宋体" w:hAnsi="宋体" w:cs="宋体"/>
                <w:b/>
                <w:bCs/>
                <w:color w:val="FF0000"/>
                <w:szCs w:val="21"/>
                <w:highlight w:val="none"/>
                <w:lang w:val="zh-CN"/>
              </w:rPr>
              <w:t>★</w:t>
            </w:r>
            <w:r>
              <w:rPr>
                <w:rFonts w:hint="eastAsia" w:ascii="宋体" w:hAnsi="宋体" w:eastAsia="宋体" w:cs="宋体"/>
                <w:b/>
                <w:bCs/>
                <w:color w:val="auto"/>
                <w:sz w:val="21"/>
                <w:szCs w:val="21"/>
              </w:rPr>
              <w:t>报价要求</w:t>
            </w:r>
          </w:p>
        </w:tc>
        <w:tc>
          <w:tcPr>
            <w:tcW w:w="6244" w:type="dxa"/>
            <w:shd w:val="clear" w:color="auto" w:fill="auto"/>
            <w:vAlign w:val="center"/>
          </w:tcPr>
          <w:p w14:paraId="09DA316B">
            <w:pPr>
              <w:pStyle w:val="2"/>
              <w:tabs>
                <w:tab w:val="left" w:pos="562"/>
                <w:tab w:val="left" w:pos="3372"/>
                <w:tab w:val="left" w:pos="3653"/>
              </w:tabs>
              <w:spacing w:line="240" w:lineRule="auto"/>
              <w:rPr>
                <w:rFonts w:hint="default"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1.</w:t>
            </w:r>
            <w:r>
              <w:rPr>
                <w:rFonts w:hint="eastAsia" w:ascii="宋体" w:hAnsi="宋体" w:eastAsia="宋体" w:cs="宋体"/>
                <w:sz w:val="21"/>
                <w:szCs w:val="21"/>
              </w:rPr>
              <w:t>投标人应按货物需求的要求报价。投标人提供的报价除另有约定外，均已包含购买货物费用及售后服务所发生的所有费用，包括但不限于代理费、税费、货物运至</w:t>
            </w:r>
            <w:r>
              <w:rPr>
                <w:rFonts w:hint="eastAsia" w:ascii="宋体" w:hAnsi="宋体" w:eastAsia="宋体" w:cs="宋体"/>
                <w:sz w:val="21"/>
                <w:szCs w:val="21"/>
                <w:lang w:val="en-US" w:eastAsia="zh-CN"/>
              </w:rPr>
              <w:t>采购人货物</w:t>
            </w:r>
            <w:r>
              <w:rPr>
                <w:rFonts w:hint="eastAsia" w:ascii="宋体" w:hAnsi="宋体" w:eastAsia="宋体" w:cs="宋体"/>
                <w:sz w:val="21"/>
                <w:szCs w:val="21"/>
              </w:rPr>
              <w:t>安装指定地点的如运输费、保险费、叉车费和装卸费、配套资料费、安装调试费、服务培训费、项目验收时的试剂耗材、</w:t>
            </w:r>
            <w:r>
              <w:rPr>
                <w:rFonts w:hint="eastAsia" w:ascii="宋体" w:hAnsi="宋体" w:eastAsia="宋体" w:cs="宋体"/>
                <w:b/>
                <w:bCs/>
                <w:sz w:val="21"/>
                <w:szCs w:val="21"/>
              </w:rPr>
              <w:t>原材料和成品抽样及</w:t>
            </w:r>
            <w:r>
              <w:rPr>
                <w:rFonts w:hint="eastAsia" w:ascii="宋体" w:hAnsi="宋体" w:eastAsia="宋体" w:cs="宋体"/>
                <w:b/>
                <w:bCs/>
                <w:sz w:val="21"/>
                <w:szCs w:val="21"/>
                <w:lang w:val="en-US" w:eastAsia="zh-CN"/>
              </w:rPr>
              <w:t>其</w:t>
            </w:r>
            <w:r>
              <w:rPr>
                <w:rFonts w:hint="eastAsia" w:ascii="宋体" w:hAnsi="宋体" w:eastAsia="宋体" w:cs="宋体"/>
                <w:sz w:val="21"/>
                <w:szCs w:val="21"/>
                <w:lang w:val="en-US" w:eastAsia="zh-CN"/>
              </w:rPr>
              <w:t>检测</w:t>
            </w:r>
            <w:r>
              <w:rPr>
                <w:rFonts w:hint="eastAsia" w:ascii="宋体" w:hAnsi="宋体" w:eastAsia="宋体" w:cs="宋体"/>
                <w:sz w:val="21"/>
                <w:szCs w:val="21"/>
              </w:rPr>
              <w:t>费用以及免费保修期内的售后服务费用及国家规定的各项税费等全部费用；投标总价应为各分项合计价格之和。与总项目相关的上述安装调试等费用须分摊计入各分项，不得以单项计费。</w:t>
            </w:r>
          </w:p>
        </w:tc>
      </w:tr>
    </w:tbl>
    <w:p w14:paraId="7F4FA20A">
      <w:pPr>
        <w:pStyle w:val="21"/>
        <w:numPr>
          <w:ilvl w:val="0"/>
          <w:numId w:val="0"/>
        </w:numPr>
        <w:ind w:leftChars="0"/>
        <w:jc w:val="left"/>
        <w:rPr>
          <w:rFonts w:hint="default" w:ascii="宋体" w:hAnsi="宋体" w:eastAsia="宋体" w:cs="宋体"/>
          <w:b/>
          <w:bCs/>
          <w:color w:val="auto"/>
          <w:kern w:val="0"/>
          <w:sz w:val="21"/>
          <w:szCs w:val="21"/>
          <w:lang w:val="en-US" w:eastAsia="zh-CN"/>
        </w:rPr>
      </w:pPr>
    </w:p>
    <w:p w14:paraId="5D1C53CF">
      <w:pPr>
        <w:tabs>
          <w:tab w:val="left" w:pos="900"/>
        </w:tabs>
        <w:rPr>
          <w:rFonts w:hint="eastAsia" w:ascii="宋体" w:hAnsi="宋体" w:cs="宋体"/>
          <w:b/>
          <w:bCs/>
          <w:color w:val="FF0000"/>
          <w:szCs w:val="21"/>
          <w:highlight w:val="none"/>
        </w:rPr>
      </w:pPr>
      <w:r>
        <w:rPr>
          <w:rFonts w:hint="eastAsia" w:ascii="宋体" w:hAnsi="宋体" w:cs="宋体"/>
          <w:b/>
          <w:bCs/>
          <w:color w:val="FF0000"/>
          <w:szCs w:val="21"/>
          <w:highlight w:val="none"/>
        </w:rPr>
        <w:t>注：</w:t>
      </w:r>
    </w:p>
    <w:p w14:paraId="468995C6">
      <w:pPr>
        <w:numPr>
          <w:ilvl w:val="0"/>
          <w:numId w:val="11"/>
        </w:numPr>
        <w:tabs>
          <w:tab w:val="left" w:pos="142"/>
          <w:tab w:val="left" w:pos="567"/>
          <w:tab w:val="left" w:pos="709"/>
        </w:tabs>
        <w:ind w:hanging="567"/>
        <w:rPr>
          <w:rFonts w:hint="eastAsia" w:ascii="宋体" w:hAnsi="宋体" w:cs="宋体"/>
          <w:b/>
          <w:bCs/>
          <w:color w:val="FF0000"/>
          <w:szCs w:val="21"/>
          <w:highlight w:val="none"/>
          <w:lang w:val="zh-CN"/>
        </w:rPr>
      </w:pPr>
      <w:r>
        <w:rPr>
          <w:rFonts w:hint="eastAsia" w:ascii="宋体" w:hAnsi="宋体" w:cs="宋体"/>
          <w:b/>
          <w:bCs/>
          <w:color w:val="FF0000"/>
          <w:szCs w:val="21"/>
          <w:lang w:val="zh-CN"/>
        </w:rPr>
        <w:t>本项目招标</w:t>
      </w:r>
      <w:r>
        <w:rPr>
          <w:rFonts w:hint="eastAsia" w:ascii="宋体" w:hAnsi="宋体" w:cs="宋体"/>
          <w:b/>
          <w:bCs/>
          <w:color w:val="FF0000"/>
          <w:szCs w:val="21"/>
        </w:rPr>
        <w:t>最高限价</w:t>
      </w:r>
      <w:r>
        <w:rPr>
          <w:rFonts w:hint="eastAsia" w:ascii="宋体" w:hAnsi="宋体" w:eastAsia="宋体" w:cs="宋体"/>
          <w:b/>
          <w:bCs/>
          <w:color w:val="FF0000"/>
          <w:kern w:val="0"/>
          <w:sz w:val="21"/>
          <w:szCs w:val="21"/>
          <w:u w:val="single"/>
          <w:lang w:val="en-US" w:eastAsia="zh-CN"/>
        </w:rPr>
        <w:t>壹拾叁万伍仟元整(</w:t>
      </w:r>
      <w:r>
        <w:rPr>
          <w:rFonts w:hint="eastAsia" w:ascii="宋体" w:hAnsi="宋体" w:eastAsia="宋体" w:cs="宋体"/>
          <w:b/>
          <w:bCs/>
          <w:color w:val="FF0000"/>
          <w:sz w:val="21"/>
          <w:szCs w:val="21"/>
          <w:highlight w:val="none"/>
          <w:u w:val="single"/>
          <w:lang w:eastAsia="zh-CN"/>
        </w:rPr>
        <w:t>¥</w:t>
      </w:r>
      <w:r>
        <w:rPr>
          <w:rFonts w:hint="eastAsia" w:ascii="宋体" w:hAnsi="宋体" w:eastAsia="宋体" w:cs="宋体"/>
          <w:b/>
          <w:bCs/>
          <w:color w:val="FF0000"/>
          <w:sz w:val="21"/>
          <w:szCs w:val="21"/>
          <w:highlight w:val="none"/>
          <w:u w:val="single"/>
          <w:lang w:val="en-US" w:eastAsia="zh-CN"/>
        </w:rPr>
        <w:t>135000</w:t>
      </w:r>
      <w:r>
        <w:rPr>
          <w:rFonts w:hint="eastAsia" w:ascii="宋体" w:hAnsi="宋体" w:eastAsia="宋体" w:cs="宋体"/>
          <w:b/>
          <w:bCs/>
          <w:color w:val="FF0000"/>
          <w:kern w:val="0"/>
          <w:sz w:val="21"/>
          <w:szCs w:val="21"/>
          <w:u w:val="single"/>
          <w:lang w:val="en-US" w:eastAsia="zh-CN"/>
        </w:rPr>
        <w:t>)</w:t>
      </w:r>
      <w:r>
        <w:rPr>
          <w:rFonts w:hint="eastAsia" w:ascii="宋体" w:hAnsi="宋体" w:cs="宋体"/>
          <w:b/>
          <w:bCs/>
          <w:color w:val="FF0000"/>
          <w:szCs w:val="21"/>
          <w:highlight w:val="none"/>
          <w:lang w:val="zh-CN"/>
        </w:rPr>
        <w:t>；超</w:t>
      </w:r>
      <w:r>
        <w:rPr>
          <w:rFonts w:hint="eastAsia" w:ascii="宋体" w:hAnsi="宋体" w:cs="宋体"/>
          <w:b/>
          <w:bCs/>
          <w:color w:val="FF0000"/>
          <w:szCs w:val="21"/>
          <w:lang w:val="zh-CN"/>
        </w:rPr>
        <w:t>出此预算的投标作投标</w:t>
      </w:r>
      <w:r>
        <w:rPr>
          <w:rFonts w:hint="eastAsia" w:ascii="宋体" w:hAnsi="宋体" w:cs="宋体"/>
          <w:b/>
          <w:bCs/>
          <w:color w:val="FF0000"/>
          <w:szCs w:val="21"/>
        </w:rPr>
        <w:t>无效</w:t>
      </w:r>
      <w:r>
        <w:rPr>
          <w:rFonts w:hint="eastAsia" w:ascii="宋体" w:hAnsi="宋体" w:cs="宋体"/>
          <w:b/>
          <w:bCs/>
          <w:color w:val="FF0000"/>
          <w:szCs w:val="21"/>
          <w:lang w:val="zh-CN"/>
        </w:rPr>
        <w:t>处理</w:t>
      </w:r>
      <w:r>
        <w:rPr>
          <w:rFonts w:hint="eastAsia" w:ascii="宋体" w:hAnsi="宋体" w:cs="宋体"/>
          <w:b/>
          <w:bCs/>
          <w:color w:val="FF0000"/>
          <w:szCs w:val="21"/>
          <w:highlight w:val="none"/>
          <w:lang w:val="zh-CN"/>
        </w:rPr>
        <w:t>。</w:t>
      </w:r>
    </w:p>
    <w:p w14:paraId="1729CB3E">
      <w:pPr>
        <w:numPr>
          <w:ilvl w:val="0"/>
          <w:numId w:val="11"/>
        </w:numPr>
        <w:tabs>
          <w:tab w:val="left" w:pos="142"/>
          <w:tab w:val="left" w:pos="709"/>
        </w:tabs>
        <w:ind w:left="142" w:hanging="284"/>
        <w:rPr>
          <w:rFonts w:hint="eastAsia" w:ascii="宋体" w:hAnsi="宋体" w:cs="宋体"/>
          <w:b/>
          <w:bCs/>
          <w:color w:val="FF0000"/>
          <w:szCs w:val="21"/>
          <w:highlight w:val="none"/>
          <w:lang w:val="zh-CN"/>
        </w:rPr>
      </w:pPr>
      <w:r>
        <w:rPr>
          <w:rFonts w:hint="eastAsia" w:ascii="宋体" w:hAnsi="宋体" w:cs="宋体"/>
          <w:b/>
          <w:bCs/>
          <w:color w:val="FF0000"/>
          <w:szCs w:val="21"/>
          <w:highlight w:val="none"/>
          <w:lang w:val="zh-CN"/>
        </w:rPr>
        <w:t>本《用户需求书》所提有关技术和商务要求（打“★”的条款必须满足，否则作</w:t>
      </w:r>
      <w:r>
        <w:rPr>
          <w:rFonts w:hint="eastAsia" w:ascii="宋体" w:hAnsi="宋体" w:cs="宋体"/>
          <w:b/>
          <w:bCs/>
          <w:color w:val="FF0000"/>
          <w:szCs w:val="21"/>
          <w:highlight w:val="none"/>
        </w:rPr>
        <w:t>投标无效</w:t>
      </w:r>
      <w:r>
        <w:rPr>
          <w:rFonts w:hint="eastAsia" w:ascii="宋体" w:hAnsi="宋体" w:cs="宋体"/>
          <w:b/>
          <w:bCs/>
          <w:color w:val="FF0000"/>
          <w:szCs w:val="21"/>
          <w:highlight w:val="none"/>
          <w:lang w:val="zh-CN"/>
        </w:rPr>
        <w:t>处理）；仅供参考，投标人在投标文件中可提出替代标准，但此替代标准应不低于招标文件技术要求。</w:t>
      </w:r>
    </w:p>
    <w:p w14:paraId="009353A1">
      <w:pPr>
        <w:numPr>
          <w:ilvl w:val="0"/>
          <w:numId w:val="11"/>
        </w:numPr>
        <w:tabs>
          <w:tab w:val="left" w:pos="142"/>
          <w:tab w:val="left" w:pos="709"/>
        </w:tabs>
        <w:ind w:left="142" w:hanging="284"/>
        <w:rPr>
          <w:rFonts w:hint="eastAsia" w:ascii="宋体" w:hAnsi="宋体" w:cs="宋体"/>
          <w:b/>
          <w:bCs/>
          <w:color w:val="FF0000"/>
          <w:szCs w:val="21"/>
          <w:highlight w:val="none"/>
        </w:rPr>
      </w:pPr>
      <w:r>
        <w:rPr>
          <w:rFonts w:hint="eastAsia" w:ascii="宋体" w:hAnsi="宋体" w:cs="宋体"/>
          <w:b/>
          <w:bCs/>
          <w:color w:val="FF0000"/>
          <w:szCs w:val="21"/>
          <w:highlight w:val="none"/>
          <w:lang w:val="en-US" w:eastAsia="zh-CN"/>
        </w:rPr>
        <w:t>校内招投标小组</w:t>
      </w:r>
      <w:r>
        <w:rPr>
          <w:rFonts w:hint="eastAsia" w:ascii="宋体" w:hAnsi="宋体" w:cs="宋体"/>
          <w:b/>
          <w:bCs/>
          <w:color w:val="FF0000"/>
          <w:szCs w:val="21"/>
          <w:highlight w:val="none"/>
          <w:lang w:val="zh-CN"/>
        </w:rPr>
        <w:t>有权对以谋取中标为目的的技术规格模糊响应（如有意照搬照抄招标文件的技术要求）或虚假响应予以认定。供应商上述行为一经发现或查实，</w:t>
      </w:r>
      <w:r>
        <w:rPr>
          <w:rFonts w:hint="eastAsia" w:ascii="宋体" w:hAnsi="宋体" w:cs="宋体"/>
          <w:b/>
          <w:bCs/>
          <w:color w:val="FF0000"/>
          <w:szCs w:val="21"/>
          <w:lang w:val="zh-CN"/>
        </w:rPr>
        <w:t>作</w:t>
      </w:r>
      <w:r>
        <w:rPr>
          <w:rFonts w:hint="eastAsia" w:ascii="宋体" w:hAnsi="宋体" w:cs="宋体"/>
          <w:b/>
          <w:bCs/>
          <w:color w:val="FF0000"/>
          <w:szCs w:val="21"/>
          <w:lang w:val="en-US" w:eastAsia="zh-CN"/>
        </w:rPr>
        <w:t>扣分或</w:t>
      </w:r>
      <w:r>
        <w:rPr>
          <w:rFonts w:hint="eastAsia" w:ascii="宋体" w:hAnsi="宋体" w:cs="宋体"/>
          <w:b/>
          <w:bCs/>
          <w:color w:val="FF0000"/>
          <w:szCs w:val="21"/>
          <w:lang w:val="zh-CN"/>
        </w:rPr>
        <w:t>投标</w:t>
      </w:r>
      <w:r>
        <w:rPr>
          <w:rFonts w:hint="eastAsia" w:ascii="宋体" w:hAnsi="宋体" w:cs="宋体"/>
          <w:b/>
          <w:bCs/>
          <w:color w:val="FF0000"/>
          <w:szCs w:val="21"/>
        </w:rPr>
        <w:t>无效</w:t>
      </w:r>
      <w:r>
        <w:rPr>
          <w:rFonts w:hint="eastAsia" w:ascii="宋体" w:hAnsi="宋体" w:cs="宋体"/>
          <w:b/>
          <w:bCs/>
          <w:color w:val="FF0000"/>
          <w:szCs w:val="21"/>
          <w:lang w:val="zh-CN"/>
        </w:rPr>
        <w:t>处理。</w:t>
      </w:r>
    </w:p>
    <w:p w14:paraId="4C09224B">
      <w:pPr>
        <w:numPr>
          <w:ilvl w:val="0"/>
          <w:numId w:val="11"/>
        </w:numPr>
        <w:tabs>
          <w:tab w:val="left" w:pos="142"/>
          <w:tab w:val="left" w:pos="567"/>
          <w:tab w:val="left" w:pos="709"/>
        </w:tabs>
        <w:ind w:hanging="567"/>
        <w:rPr>
          <w:rFonts w:hint="eastAsia" w:ascii="宋体" w:hAnsi="宋体" w:cs="宋体"/>
          <w:b/>
          <w:bCs/>
          <w:color w:val="FF0000"/>
          <w:szCs w:val="21"/>
          <w:highlight w:val="none"/>
        </w:rPr>
      </w:pPr>
      <w:r>
        <w:rPr>
          <w:rFonts w:hint="eastAsia" w:ascii="宋体" w:hAnsi="宋体" w:cs="宋体"/>
          <w:b/>
          <w:bCs/>
          <w:color w:val="FF0000"/>
          <w:szCs w:val="21"/>
          <w:highlight w:val="none"/>
        </w:rPr>
        <w:t>当招标文件中出现前后表述不一致的时候，以招标文件中对投标人责任规定较严格的为准。</w:t>
      </w:r>
    </w:p>
    <w:p w14:paraId="69369DB0">
      <w:pPr>
        <w:numPr>
          <w:ilvl w:val="0"/>
          <w:numId w:val="11"/>
        </w:numPr>
        <w:tabs>
          <w:tab w:val="left" w:pos="142"/>
          <w:tab w:val="left" w:pos="567"/>
          <w:tab w:val="left" w:pos="709"/>
        </w:tabs>
        <w:ind w:hanging="567"/>
        <w:rPr>
          <w:rFonts w:hint="eastAsia" w:ascii="宋体" w:hAnsi="宋体" w:cs="宋体"/>
          <w:b/>
          <w:bCs/>
          <w:color w:val="FF0000"/>
          <w:szCs w:val="21"/>
          <w:highlight w:val="none"/>
        </w:rPr>
      </w:pPr>
      <w:r>
        <w:rPr>
          <w:rFonts w:hint="eastAsia" w:ascii="宋体" w:hAnsi="宋体" w:cs="宋体"/>
          <w:b/>
          <w:bCs/>
          <w:color w:val="FF0000"/>
          <w:szCs w:val="21"/>
          <w:highlight w:val="none"/>
        </w:rPr>
        <w:t>当投标文件中出现前后表述不一致的时候，以投标文件中对投标人责任规定较严格的为准。</w:t>
      </w:r>
    </w:p>
    <w:p w14:paraId="3CD086BB">
      <w:pPr>
        <w:numPr>
          <w:ilvl w:val="0"/>
          <w:numId w:val="11"/>
        </w:numPr>
        <w:tabs>
          <w:tab w:val="left" w:pos="142"/>
          <w:tab w:val="left" w:pos="709"/>
        </w:tabs>
        <w:ind w:left="142" w:hanging="284"/>
        <w:rPr>
          <w:rFonts w:hint="eastAsia" w:ascii="宋体" w:hAnsi="宋体" w:cs="宋体"/>
          <w:b/>
          <w:bCs/>
          <w:color w:val="FF0000"/>
          <w:szCs w:val="21"/>
          <w:highlight w:val="none"/>
          <w:lang w:val="zh-CN"/>
        </w:rPr>
      </w:pPr>
      <w:r>
        <w:rPr>
          <w:rFonts w:hint="eastAsia" w:ascii="宋体" w:hAnsi="宋体" w:cs="宋体"/>
          <w:b/>
          <w:bCs/>
          <w:color w:val="FF0000"/>
          <w:szCs w:val="21"/>
          <w:highlight w:val="none"/>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按投标报价由低到高排列，得分和价格均相同的，按评审因素的量化指标由高到低排列。以上情况仍相同的，则采取随机抽取方式确定（a抽签编号：投标一览表序号作为抽签序号；b由采购人从中抽选一名作为确定获得中标人推荐资格的投标人），其他同品牌投标人不作为中标候选人；多家投标人提供的核心产品品牌相同的，按上述规定处理。</w:t>
      </w:r>
    </w:p>
    <w:p w14:paraId="73883F70">
      <w:pPr>
        <w:numPr>
          <w:ilvl w:val="0"/>
          <w:numId w:val="11"/>
        </w:numPr>
        <w:tabs>
          <w:tab w:val="left" w:pos="142"/>
          <w:tab w:val="left" w:pos="709"/>
        </w:tabs>
        <w:ind w:left="142" w:hanging="284"/>
        <w:rPr>
          <w:rFonts w:hint="eastAsia" w:ascii="宋体" w:hAnsi="宋体" w:cs="宋体"/>
          <w:b/>
          <w:bCs/>
          <w:color w:val="FF0000"/>
          <w:szCs w:val="21"/>
          <w:highlight w:val="none"/>
        </w:rPr>
      </w:pPr>
      <w:r>
        <w:rPr>
          <w:rFonts w:hint="eastAsia" w:ascii="宋体" w:hAnsi="宋体" w:cs="宋体"/>
          <w:b/>
          <w:bCs/>
          <w:color w:val="FF0000"/>
          <w:szCs w:val="21"/>
          <w:highlight w:val="none"/>
        </w:rPr>
        <w:t>招标文件中如出现参考品牌，那么参考品牌仅作为参考使用，投标人在投标时可提供参考品牌产品也可提供同等品牌或优于参考品牌的产品参与投标。</w:t>
      </w:r>
    </w:p>
    <w:p w14:paraId="38CB3C4F">
      <w:pPr>
        <w:numPr>
          <w:ilvl w:val="0"/>
          <w:numId w:val="11"/>
        </w:numPr>
        <w:tabs>
          <w:tab w:val="left" w:pos="142"/>
          <w:tab w:val="left" w:pos="709"/>
          <w:tab w:val="clear" w:pos="425"/>
        </w:tabs>
        <w:ind w:left="142" w:hanging="284"/>
        <w:rPr>
          <w:rFonts w:hint="eastAsia" w:ascii="宋体" w:hAnsi="宋体" w:cs="宋体"/>
          <w:b/>
          <w:bCs/>
          <w:color w:val="FF0000"/>
          <w:szCs w:val="21"/>
          <w:highlight w:val="none"/>
        </w:rPr>
      </w:pPr>
      <w:r>
        <w:rPr>
          <w:rFonts w:hint="eastAsia" w:ascii="宋体" w:hAnsi="宋体" w:cs="宋体"/>
          <w:b/>
          <w:bCs/>
          <w:color w:val="FF0000"/>
          <w:szCs w:val="21"/>
          <w:highlight w:val="none"/>
        </w:rPr>
        <w:t>投标报价合理性的提交及认定：</w:t>
      </w:r>
    </w:p>
    <w:p w14:paraId="5B6CF691">
      <w:pPr>
        <w:numPr>
          <w:ilvl w:val="0"/>
          <w:numId w:val="12"/>
        </w:numPr>
        <w:tabs>
          <w:tab w:val="left" w:pos="142"/>
          <w:tab w:val="left" w:pos="709"/>
        </w:tabs>
        <w:ind w:left="220"/>
        <w:rPr>
          <w:rFonts w:hint="eastAsia" w:ascii="宋体" w:hAnsi="宋体" w:cs="宋体"/>
          <w:b/>
          <w:bCs/>
          <w:color w:val="FF0000"/>
          <w:szCs w:val="21"/>
          <w:highlight w:val="none"/>
        </w:rPr>
      </w:pPr>
      <w:r>
        <w:rPr>
          <w:rFonts w:hint="eastAsia" w:ascii="宋体" w:hAnsi="宋体" w:cs="宋体"/>
          <w:b/>
          <w:bCs/>
          <w:color w:val="FF0000"/>
          <w:szCs w:val="21"/>
          <w:highlight w:val="none"/>
        </w:rPr>
        <w:t>投标报价合理性说明的提交方式，现场或电子邮件提交（邮箱地址：</w:t>
      </w:r>
      <w:r>
        <w:rPr>
          <w:rFonts w:hint="eastAsia" w:ascii="宋体" w:hAnsi="宋体" w:cs="宋体"/>
          <w:b/>
          <w:bCs/>
          <w:color w:val="FF0000"/>
          <w:szCs w:val="21"/>
          <w:highlight w:val="none"/>
        </w:rPr>
        <w:fldChar w:fldCharType="begin" w:fldLock="1"/>
      </w:r>
      <w:r>
        <w:rPr>
          <w:rFonts w:hint="eastAsia" w:ascii="宋体" w:hAnsi="宋体" w:cs="宋体"/>
          <w:b/>
          <w:bCs/>
          <w:color w:val="FF0000"/>
          <w:szCs w:val="21"/>
          <w:highlight w:val="none"/>
        </w:rPr>
        <w:instrText xml:space="preserve"> HYPERLINK "mailto:dept1@zgyd11.com）。" </w:instrText>
      </w:r>
      <w:r>
        <w:rPr>
          <w:rFonts w:hint="eastAsia" w:ascii="宋体" w:hAnsi="宋体" w:cs="宋体"/>
          <w:b/>
          <w:bCs/>
          <w:color w:val="FF0000"/>
          <w:szCs w:val="21"/>
          <w:highlight w:val="none"/>
        </w:rPr>
        <w:fldChar w:fldCharType="separate"/>
      </w:r>
      <w:r>
        <w:rPr>
          <w:rStyle w:val="20"/>
          <w:rFonts w:hint="eastAsia"/>
          <w:b/>
          <w:bCs/>
          <w:color w:val="FF0000"/>
          <w:szCs w:val="21"/>
          <w:highlight w:val="none"/>
          <w:lang w:val="en-US" w:eastAsia="zh-CN"/>
        </w:rPr>
        <w:t>13418829782@126.com</w:t>
      </w:r>
      <w:r>
        <w:rPr>
          <w:rStyle w:val="20"/>
          <w:rFonts w:hint="default"/>
          <w:b/>
          <w:bCs/>
          <w:color w:val="FF0000"/>
          <w:szCs w:val="21"/>
          <w:highlight w:val="none"/>
        </w:rPr>
        <w:t>）。</w:t>
      </w:r>
      <w:r>
        <w:rPr>
          <w:rFonts w:hint="eastAsia" w:ascii="宋体" w:hAnsi="宋体" w:cs="宋体"/>
          <w:b/>
          <w:bCs/>
          <w:color w:val="FF0000"/>
          <w:szCs w:val="21"/>
          <w:highlight w:val="none"/>
        </w:rPr>
        <w:fldChar w:fldCharType="end"/>
      </w:r>
    </w:p>
    <w:p w14:paraId="5848FE36">
      <w:pPr>
        <w:numPr>
          <w:ilvl w:val="0"/>
          <w:numId w:val="12"/>
        </w:numPr>
        <w:tabs>
          <w:tab w:val="left" w:pos="142"/>
          <w:tab w:val="left" w:pos="709"/>
        </w:tabs>
        <w:ind w:left="220"/>
        <w:rPr>
          <w:rFonts w:hint="eastAsia" w:ascii="宋体" w:hAnsi="宋体" w:cs="宋体"/>
          <w:b/>
          <w:bCs/>
          <w:color w:val="FF0000"/>
          <w:szCs w:val="21"/>
          <w:highlight w:val="none"/>
        </w:rPr>
      </w:pPr>
      <w:r>
        <w:rPr>
          <w:rFonts w:hint="eastAsia" w:ascii="宋体" w:hAnsi="宋体" w:cs="宋体"/>
          <w:b/>
          <w:bCs/>
          <w:color w:val="FF0000"/>
          <w:szCs w:val="21"/>
          <w:highlight w:val="none"/>
        </w:rPr>
        <w:t>若评审委员会成员对是否须由投标人作出报价合理性说明，以及书面说明是否釆纳等判断不一致的，按照“少数服从多数”的原则确定评审委员会的意见。</w:t>
      </w:r>
    </w:p>
    <w:p w14:paraId="4191B280">
      <w:pPr>
        <w:pStyle w:val="21"/>
        <w:numPr>
          <w:ilvl w:val="0"/>
          <w:numId w:val="0"/>
        </w:numPr>
        <w:ind w:leftChars="0"/>
        <w:jc w:val="left"/>
        <w:rPr>
          <w:rFonts w:hint="default" w:ascii="宋体" w:hAnsi="宋体" w:eastAsia="宋体" w:cs="宋体"/>
          <w:b/>
          <w:bCs/>
          <w:color w:val="auto"/>
          <w:kern w:val="0"/>
          <w:sz w:val="21"/>
          <w:szCs w:val="21"/>
          <w:lang w:val="en-US" w:eastAsia="zh-CN"/>
        </w:rPr>
      </w:pPr>
    </w:p>
    <w:p w14:paraId="78AFCDBC">
      <w:pPr>
        <w:pStyle w:val="21"/>
        <w:numPr>
          <w:ilvl w:val="0"/>
          <w:numId w:val="0"/>
        </w:numPr>
        <w:ind w:leftChars="0"/>
        <w:jc w:val="left"/>
        <w:rPr>
          <w:rFonts w:hint="default" w:ascii="宋体" w:hAnsi="宋体" w:eastAsia="宋体" w:cs="宋体"/>
          <w:b/>
          <w:bCs/>
          <w:color w:val="auto"/>
          <w:kern w:val="0"/>
          <w:sz w:val="21"/>
          <w:szCs w:val="21"/>
          <w:lang w:val="en-US" w:eastAsia="zh-CN"/>
        </w:rPr>
      </w:pPr>
    </w:p>
    <w:p w14:paraId="0AF59C22">
      <w:pPr>
        <w:pStyle w:val="21"/>
        <w:numPr>
          <w:ilvl w:val="0"/>
          <w:numId w:val="0"/>
        </w:numPr>
        <w:ind w:leftChars="0"/>
        <w:jc w:val="left"/>
        <w:rPr>
          <w:rFonts w:hint="default" w:ascii="宋体" w:hAnsi="宋体" w:eastAsia="宋体" w:cs="宋体"/>
          <w:b/>
          <w:bCs/>
          <w:color w:val="auto"/>
          <w:kern w:val="0"/>
          <w:sz w:val="21"/>
          <w:szCs w:val="21"/>
          <w:lang w:val="en-US" w:eastAsia="zh-CN"/>
        </w:rPr>
      </w:pPr>
    </w:p>
    <w:p w14:paraId="38A77D73">
      <w:pPr>
        <w:pStyle w:val="21"/>
        <w:numPr>
          <w:ilvl w:val="0"/>
          <w:numId w:val="0"/>
        </w:numPr>
        <w:ind w:leftChars="0"/>
        <w:jc w:val="left"/>
        <w:rPr>
          <w:rFonts w:hint="default" w:ascii="宋体" w:hAnsi="宋体" w:eastAsia="宋体" w:cs="宋体"/>
          <w:b/>
          <w:bCs/>
          <w:color w:val="auto"/>
          <w:kern w:val="0"/>
          <w:sz w:val="21"/>
          <w:szCs w:val="21"/>
          <w:lang w:val="en-US" w:eastAsia="zh-CN"/>
        </w:rPr>
      </w:pPr>
    </w:p>
    <w:p w14:paraId="26F3C111">
      <w:pPr>
        <w:pStyle w:val="21"/>
        <w:numPr>
          <w:ilvl w:val="0"/>
          <w:numId w:val="0"/>
        </w:numPr>
        <w:ind w:leftChars="0"/>
        <w:jc w:val="left"/>
        <w:rPr>
          <w:rFonts w:hint="default" w:ascii="宋体" w:hAnsi="宋体" w:eastAsia="宋体" w:cs="宋体"/>
          <w:b/>
          <w:bCs/>
          <w:color w:val="auto"/>
          <w:kern w:val="0"/>
          <w:sz w:val="21"/>
          <w:szCs w:val="21"/>
          <w:lang w:val="en-US" w:eastAsia="zh-CN"/>
        </w:rPr>
      </w:pPr>
    </w:p>
    <w:p w14:paraId="2AB3FF5F">
      <w:pPr>
        <w:pStyle w:val="21"/>
        <w:numPr>
          <w:ilvl w:val="0"/>
          <w:numId w:val="0"/>
        </w:numPr>
        <w:ind w:leftChars="0"/>
        <w:jc w:val="left"/>
        <w:rPr>
          <w:rFonts w:hint="default" w:ascii="宋体" w:hAnsi="宋体" w:eastAsia="宋体" w:cs="宋体"/>
          <w:b/>
          <w:bCs/>
          <w:color w:val="auto"/>
          <w:kern w:val="0"/>
          <w:sz w:val="21"/>
          <w:szCs w:val="21"/>
          <w:lang w:val="en-US" w:eastAsia="zh-CN"/>
        </w:rPr>
      </w:pPr>
    </w:p>
    <w:p w14:paraId="7B838685">
      <w:pPr>
        <w:pStyle w:val="21"/>
        <w:numPr>
          <w:ilvl w:val="0"/>
          <w:numId w:val="0"/>
        </w:numPr>
        <w:ind w:leftChars="0"/>
        <w:jc w:val="left"/>
        <w:rPr>
          <w:rFonts w:hint="default" w:ascii="宋体" w:hAnsi="宋体" w:eastAsia="宋体" w:cs="宋体"/>
          <w:b/>
          <w:bCs/>
          <w:color w:val="auto"/>
          <w:kern w:val="0"/>
          <w:sz w:val="21"/>
          <w:szCs w:val="21"/>
          <w:lang w:val="en-US" w:eastAsia="zh-CN"/>
        </w:rPr>
      </w:pPr>
    </w:p>
    <w:p w14:paraId="6A67CFA3">
      <w:pPr>
        <w:pStyle w:val="21"/>
        <w:numPr>
          <w:ilvl w:val="0"/>
          <w:numId w:val="0"/>
        </w:numPr>
        <w:ind w:leftChars="0"/>
        <w:jc w:val="left"/>
        <w:rPr>
          <w:rFonts w:hint="default" w:ascii="宋体" w:hAnsi="宋体" w:eastAsia="宋体" w:cs="宋体"/>
          <w:b/>
          <w:bCs/>
          <w:color w:val="auto"/>
          <w:kern w:val="0"/>
          <w:sz w:val="21"/>
          <w:szCs w:val="21"/>
          <w:lang w:val="en-US" w:eastAsia="zh-CN"/>
        </w:rPr>
      </w:pPr>
    </w:p>
    <w:p w14:paraId="07F532B0">
      <w:pPr>
        <w:pStyle w:val="21"/>
        <w:numPr>
          <w:ilvl w:val="0"/>
          <w:numId w:val="0"/>
        </w:numPr>
        <w:ind w:leftChars="0"/>
        <w:jc w:val="left"/>
        <w:rPr>
          <w:rFonts w:hint="default" w:ascii="宋体" w:hAnsi="宋体" w:eastAsia="宋体" w:cs="宋体"/>
          <w:b/>
          <w:bCs/>
          <w:color w:val="auto"/>
          <w:kern w:val="0"/>
          <w:sz w:val="21"/>
          <w:szCs w:val="21"/>
          <w:lang w:val="en-US" w:eastAsia="zh-CN"/>
        </w:rPr>
      </w:pPr>
    </w:p>
    <w:p w14:paraId="142681C2">
      <w:pPr>
        <w:pStyle w:val="4"/>
        <w:numPr>
          <w:ilvl w:val="0"/>
          <w:numId w:val="5"/>
        </w:numPr>
        <w:spacing w:line="360" w:lineRule="auto"/>
        <w:rPr>
          <w:rFonts w:hint="eastAsia" w:ascii="宋体" w:hAnsi="宋体" w:eastAsia="宋体" w:cs="宋体"/>
          <w:b/>
          <w:bCs/>
          <w:color w:val="auto"/>
          <w:sz w:val="36"/>
          <w:szCs w:val="36"/>
          <w:lang w:val="en-US" w:eastAsia="zh-CN"/>
        </w:rPr>
      </w:pPr>
      <w:r>
        <w:rPr>
          <w:rFonts w:hint="eastAsia" w:ascii="宋体" w:hAnsi="宋体" w:cs="宋体"/>
          <w:b/>
          <w:bCs/>
          <w:color w:val="auto"/>
          <w:sz w:val="36"/>
          <w:szCs w:val="36"/>
          <w:lang w:val="en-US" w:eastAsia="zh-CN"/>
        </w:rPr>
        <w:t>投标文件格式</w:t>
      </w:r>
    </w:p>
    <w:p w14:paraId="7C0B6A05">
      <w:pPr>
        <w:widowControl/>
        <w:tabs>
          <w:tab w:val="left" w:pos="142"/>
        </w:tabs>
        <w:autoSpaceDE w:val="0"/>
        <w:autoSpaceDN w:val="0"/>
        <w:spacing w:line="312" w:lineRule="auto"/>
        <w:ind w:right="28"/>
        <w:jc w:val="center"/>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rPr>
        <w:t>说明：采购文件所提及的“签字”均表示要求“亲笔手写签名”，盖名字章视为投标无效，将被做投标无效处理。例如：要求“法定代表人（签字或盖章）或被授权代表（签字）”的地方，可以盖法定代表人姓名章、或由法定代表人签名、或由被授权代表签字，但不得盖被授权代表的姓名章，否则将视为投标无效。</w:t>
      </w:r>
    </w:p>
    <w:p w14:paraId="566C61F7">
      <w:pPr>
        <w:widowControl/>
        <w:tabs>
          <w:tab w:val="left" w:pos="142"/>
        </w:tabs>
        <w:autoSpaceDE w:val="0"/>
        <w:autoSpaceDN w:val="0"/>
        <w:spacing w:line="312" w:lineRule="auto"/>
        <w:ind w:right="28"/>
        <w:jc w:val="center"/>
        <w:textAlignment w:val="bottom"/>
        <w:rPr>
          <w:rFonts w:hint="eastAsia" w:ascii="宋体" w:hAnsi="宋体" w:cs="宋体"/>
          <w:b/>
          <w:color w:val="auto"/>
          <w:sz w:val="24"/>
          <w:szCs w:val="24"/>
          <w:highlight w:val="none"/>
        </w:rPr>
      </w:pPr>
    </w:p>
    <w:p w14:paraId="7A0D3395">
      <w:pPr>
        <w:widowControl/>
        <w:tabs>
          <w:tab w:val="left" w:pos="142"/>
        </w:tabs>
        <w:autoSpaceDE w:val="0"/>
        <w:autoSpaceDN w:val="0"/>
        <w:spacing w:line="312" w:lineRule="auto"/>
        <w:ind w:right="28"/>
        <w:jc w:val="center"/>
        <w:textAlignment w:val="bottom"/>
        <w:rPr>
          <w:rFonts w:hint="eastAsia" w:ascii="宋体" w:hAnsi="宋体" w:cs="宋体"/>
          <w:b/>
          <w:color w:val="auto"/>
          <w:sz w:val="24"/>
          <w:szCs w:val="24"/>
          <w:highlight w:val="none"/>
        </w:rPr>
      </w:pPr>
    </w:p>
    <w:p w14:paraId="2C713CF1">
      <w:pPr>
        <w:pStyle w:val="2"/>
        <w:tabs>
          <w:tab w:val="left" w:pos="562"/>
          <w:tab w:val="left" w:pos="3372"/>
          <w:tab w:val="left" w:pos="3653"/>
        </w:tabs>
        <w:spacing w:line="312" w:lineRule="auto"/>
        <w:ind w:firstLine="1265" w:firstLineChars="450"/>
        <w:rPr>
          <w:rFonts w:hint="eastAsia" w:ascii="宋体" w:hAnsi="宋体" w:cs="宋体"/>
          <w:color w:val="auto"/>
          <w:sz w:val="28"/>
          <w:szCs w:val="28"/>
          <w:highlight w:val="none"/>
        </w:rPr>
      </w:pPr>
      <w:r>
        <w:rPr>
          <w:rFonts w:hint="eastAsia" w:ascii="宋体" w:hAnsi="宋体" w:cs="宋体"/>
          <w:color w:val="auto"/>
          <w:sz w:val="28"/>
          <w:szCs w:val="28"/>
          <w:highlight w:val="none"/>
        </w:rPr>
        <w:t>第一部分  报价文件</w:t>
      </w:r>
    </w:p>
    <w:p w14:paraId="1A70F8F6">
      <w:pPr>
        <w:pStyle w:val="2"/>
        <w:tabs>
          <w:tab w:val="left" w:pos="562"/>
          <w:tab w:val="left" w:pos="3372"/>
          <w:tab w:val="left" w:pos="3653"/>
        </w:tabs>
        <w:spacing w:line="312" w:lineRule="auto"/>
        <w:ind w:firstLine="1265" w:firstLineChars="450"/>
        <w:rPr>
          <w:rFonts w:hint="eastAsia" w:ascii="宋体" w:hAnsi="宋体" w:cs="宋体"/>
          <w:color w:val="auto"/>
          <w:sz w:val="28"/>
          <w:szCs w:val="28"/>
          <w:highlight w:val="none"/>
        </w:rPr>
      </w:pPr>
      <w:r>
        <w:rPr>
          <w:rFonts w:hint="eastAsia" w:ascii="宋体" w:hAnsi="宋体" w:cs="宋体"/>
          <w:color w:val="auto"/>
          <w:sz w:val="28"/>
          <w:szCs w:val="28"/>
          <w:highlight w:val="none"/>
        </w:rPr>
        <w:t>第二部分  资格性、符合性审查文件</w:t>
      </w:r>
    </w:p>
    <w:p w14:paraId="74F0C444">
      <w:pPr>
        <w:pStyle w:val="2"/>
        <w:tabs>
          <w:tab w:val="left" w:pos="562"/>
          <w:tab w:val="left" w:pos="3372"/>
          <w:tab w:val="left" w:pos="3653"/>
        </w:tabs>
        <w:spacing w:line="312" w:lineRule="auto"/>
        <w:ind w:firstLine="1265" w:firstLineChars="450"/>
        <w:rPr>
          <w:rFonts w:hint="eastAsia" w:ascii="宋体" w:hAnsi="宋体" w:cs="宋体"/>
          <w:color w:val="auto"/>
          <w:sz w:val="28"/>
          <w:szCs w:val="28"/>
          <w:highlight w:val="none"/>
        </w:rPr>
      </w:pPr>
      <w:r>
        <w:rPr>
          <w:rFonts w:hint="eastAsia" w:ascii="宋体" w:hAnsi="宋体" w:cs="宋体"/>
          <w:color w:val="auto"/>
          <w:sz w:val="28"/>
          <w:szCs w:val="28"/>
          <w:highlight w:val="none"/>
        </w:rPr>
        <w:t>第三部分  商务评审文件</w:t>
      </w:r>
    </w:p>
    <w:p w14:paraId="1B463AEA">
      <w:pPr>
        <w:pStyle w:val="2"/>
        <w:tabs>
          <w:tab w:val="left" w:pos="562"/>
          <w:tab w:val="left" w:pos="3372"/>
          <w:tab w:val="left" w:pos="3653"/>
        </w:tabs>
        <w:spacing w:line="312" w:lineRule="auto"/>
        <w:ind w:firstLine="1265" w:firstLineChars="450"/>
        <w:rPr>
          <w:rFonts w:hint="eastAsia" w:ascii="宋体" w:hAnsi="宋体" w:cs="宋体"/>
          <w:color w:val="auto"/>
          <w:sz w:val="28"/>
          <w:szCs w:val="28"/>
          <w:highlight w:val="none"/>
        </w:rPr>
      </w:pPr>
      <w:r>
        <w:rPr>
          <w:rFonts w:hint="eastAsia" w:ascii="宋体" w:hAnsi="宋体" w:cs="宋体"/>
          <w:color w:val="auto"/>
          <w:sz w:val="28"/>
          <w:szCs w:val="28"/>
          <w:highlight w:val="none"/>
        </w:rPr>
        <w:t>第四部分  技术评审文件</w:t>
      </w:r>
    </w:p>
    <w:p w14:paraId="3E628E2E">
      <w:pPr>
        <w:pStyle w:val="21"/>
        <w:numPr>
          <w:ilvl w:val="0"/>
          <w:numId w:val="0"/>
        </w:numPr>
        <w:ind w:leftChars="0"/>
        <w:jc w:val="left"/>
        <w:rPr>
          <w:rFonts w:hint="default" w:ascii="宋体" w:hAnsi="宋体" w:eastAsia="宋体" w:cs="宋体"/>
          <w:b/>
          <w:bCs/>
          <w:color w:val="auto"/>
          <w:kern w:val="0"/>
          <w:sz w:val="21"/>
          <w:szCs w:val="21"/>
          <w:lang w:val="en-US" w:eastAsia="zh-CN"/>
        </w:rPr>
      </w:pPr>
    </w:p>
    <w:p w14:paraId="1CA8DBBD">
      <w:pPr>
        <w:pStyle w:val="21"/>
        <w:numPr>
          <w:ilvl w:val="0"/>
          <w:numId w:val="0"/>
        </w:numPr>
        <w:ind w:leftChars="0"/>
        <w:jc w:val="left"/>
        <w:rPr>
          <w:rFonts w:hint="default" w:ascii="宋体" w:hAnsi="宋体" w:eastAsia="宋体" w:cs="宋体"/>
          <w:b/>
          <w:bCs/>
          <w:color w:val="auto"/>
          <w:kern w:val="0"/>
          <w:sz w:val="21"/>
          <w:szCs w:val="21"/>
          <w:lang w:val="en-US" w:eastAsia="zh-CN"/>
        </w:rPr>
      </w:pPr>
    </w:p>
    <w:p w14:paraId="4626BEF5">
      <w:pPr>
        <w:pStyle w:val="21"/>
        <w:numPr>
          <w:ilvl w:val="0"/>
          <w:numId w:val="0"/>
        </w:numPr>
        <w:ind w:leftChars="0"/>
        <w:jc w:val="left"/>
        <w:rPr>
          <w:rFonts w:hint="default" w:ascii="宋体" w:hAnsi="宋体" w:eastAsia="宋体" w:cs="宋体"/>
          <w:b/>
          <w:bCs/>
          <w:color w:val="auto"/>
          <w:kern w:val="0"/>
          <w:sz w:val="21"/>
          <w:szCs w:val="21"/>
          <w:lang w:val="en-US" w:eastAsia="zh-CN"/>
        </w:rPr>
      </w:pPr>
    </w:p>
    <w:p w14:paraId="0EBEBCF9">
      <w:pPr>
        <w:pStyle w:val="21"/>
        <w:numPr>
          <w:ilvl w:val="0"/>
          <w:numId w:val="0"/>
        </w:numPr>
        <w:ind w:leftChars="0"/>
        <w:jc w:val="left"/>
        <w:rPr>
          <w:rFonts w:hint="default" w:ascii="宋体" w:hAnsi="宋体" w:eastAsia="宋体" w:cs="宋体"/>
          <w:b/>
          <w:bCs/>
          <w:color w:val="auto"/>
          <w:kern w:val="0"/>
          <w:sz w:val="21"/>
          <w:szCs w:val="21"/>
          <w:lang w:val="en-US" w:eastAsia="zh-CN"/>
        </w:rPr>
      </w:pPr>
    </w:p>
    <w:p w14:paraId="14669686">
      <w:pPr>
        <w:pStyle w:val="21"/>
        <w:numPr>
          <w:ilvl w:val="0"/>
          <w:numId w:val="0"/>
        </w:numPr>
        <w:ind w:leftChars="0"/>
        <w:jc w:val="left"/>
        <w:rPr>
          <w:rFonts w:hint="default" w:ascii="宋体" w:hAnsi="宋体" w:eastAsia="宋体" w:cs="宋体"/>
          <w:b/>
          <w:bCs/>
          <w:color w:val="auto"/>
          <w:kern w:val="0"/>
          <w:sz w:val="21"/>
          <w:szCs w:val="21"/>
          <w:lang w:val="en-US" w:eastAsia="zh-CN"/>
        </w:rPr>
      </w:pPr>
    </w:p>
    <w:p w14:paraId="3CE20091">
      <w:pPr>
        <w:pStyle w:val="21"/>
        <w:numPr>
          <w:ilvl w:val="0"/>
          <w:numId w:val="0"/>
        </w:numPr>
        <w:ind w:leftChars="0"/>
        <w:jc w:val="left"/>
        <w:rPr>
          <w:rFonts w:hint="default" w:ascii="宋体" w:hAnsi="宋体" w:eastAsia="宋体" w:cs="宋体"/>
          <w:b/>
          <w:bCs/>
          <w:color w:val="auto"/>
          <w:kern w:val="0"/>
          <w:sz w:val="21"/>
          <w:szCs w:val="21"/>
          <w:lang w:val="en-US" w:eastAsia="zh-CN"/>
        </w:rPr>
      </w:pPr>
    </w:p>
    <w:p w14:paraId="24D07E13">
      <w:pPr>
        <w:pStyle w:val="21"/>
        <w:numPr>
          <w:ilvl w:val="0"/>
          <w:numId w:val="0"/>
        </w:numPr>
        <w:ind w:leftChars="0"/>
        <w:jc w:val="left"/>
        <w:rPr>
          <w:rFonts w:hint="default" w:ascii="宋体" w:hAnsi="宋体" w:eastAsia="宋体" w:cs="宋体"/>
          <w:b/>
          <w:bCs/>
          <w:color w:val="auto"/>
          <w:kern w:val="0"/>
          <w:sz w:val="21"/>
          <w:szCs w:val="21"/>
          <w:lang w:val="en-US" w:eastAsia="zh-CN"/>
        </w:rPr>
      </w:pPr>
    </w:p>
    <w:p w14:paraId="6AE537A2">
      <w:pPr>
        <w:pStyle w:val="21"/>
        <w:numPr>
          <w:ilvl w:val="0"/>
          <w:numId w:val="0"/>
        </w:numPr>
        <w:ind w:leftChars="0"/>
        <w:jc w:val="left"/>
        <w:rPr>
          <w:rFonts w:hint="default" w:ascii="宋体" w:hAnsi="宋体" w:eastAsia="宋体" w:cs="宋体"/>
          <w:b/>
          <w:bCs/>
          <w:color w:val="auto"/>
          <w:kern w:val="0"/>
          <w:sz w:val="21"/>
          <w:szCs w:val="21"/>
          <w:lang w:val="en-US" w:eastAsia="zh-CN"/>
        </w:rPr>
      </w:pPr>
    </w:p>
    <w:p w14:paraId="5AE652CF">
      <w:pPr>
        <w:pStyle w:val="21"/>
        <w:numPr>
          <w:ilvl w:val="0"/>
          <w:numId w:val="0"/>
        </w:numPr>
        <w:ind w:leftChars="0"/>
        <w:jc w:val="left"/>
        <w:rPr>
          <w:rFonts w:hint="default" w:ascii="宋体" w:hAnsi="宋体" w:eastAsia="宋体" w:cs="宋体"/>
          <w:b/>
          <w:bCs/>
          <w:color w:val="auto"/>
          <w:kern w:val="0"/>
          <w:sz w:val="21"/>
          <w:szCs w:val="21"/>
          <w:lang w:val="en-US" w:eastAsia="zh-CN"/>
        </w:rPr>
        <w:sectPr>
          <w:footerReference r:id="rId3" w:type="default"/>
          <w:pgSz w:w="11906" w:h="16838"/>
          <w:pgMar w:top="1440" w:right="1587" w:bottom="1440" w:left="1587" w:header="851" w:footer="992" w:gutter="0"/>
          <w:cols w:space="720" w:num="1"/>
          <w:docGrid w:type="lines" w:linePitch="312" w:charSpace="0"/>
        </w:sectPr>
      </w:pPr>
    </w:p>
    <w:p w14:paraId="12AC2E6B">
      <w:pPr>
        <w:pStyle w:val="21"/>
        <w:numPr>
          <w:ilvl w:val="0"/>
          <w:numId w:val="13"/>
        </w:numPr>
        <w:ind w:leftChars="0"/>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rPr>
        <w:t xml:space="preserve"> 报价文件</w:t>
      </w:r>
    </w:p>
    <w:p w14:paraId="2F7902E1">
      <w:pPr>
        <w:pStyle w:val="21"/>
        <w:numPr>
          <w:ilvl w:val="0"/>
          <w:numId w:val="14"/>
        </w:numPr>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投标一览表</w:t>
      </w:r>
    </w:p>
    <w:p w14:paraId="2D95F79C">
      <w:pPr>
        <w:pStyle w:val="9"/>
        <w:spacing w:before="120" w:beforeLines="50" w:after="120" w:afterLines="50" w:line="360" w:lineRule="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lang w:val="en-US" w:eastAsia="zh-CN"/>
        </w:rPr>
        <w:t>项目名称</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u w:val="single"/>
        </w:rPr>
        <w:t xml:space="preserve">                                 </w:t>
      </w:r>
    </w:p>
    <w:p w14:paraId="5D081A0E">
      <w:pPr>
        <w:pStyle w:val="9"/>
        <w:spacing w:before="120" w:beforeLines="50" w:after="120" w:afterLines="50" w:line="360" w:lineRule="auto"/>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sz w:val="21"/>
          <w:szCs w:val="21"/>
          <w:highlight w:val="none"/>
          <w:lang w:val="en-US" w:eastAsia="zh-CN"/>
        </w:rPr>
        <w:t>招标</w:t>
      </w:r>
      <w:r>
        <w:rPr>
          <w:rFonts w:hint="eastAsia" w:ascii="宋体" w:hAnsi="宋体" w:eastAsia="宋体" w:cs="宋体"/>
          <w:b/>
          <w:bCs/>
          <w:color w:val="auto"/>
          <w:sz w:val="21"/>
          <w:szCs w:val="21"/>
          <w:highlight w:val="none"/>
        </w:rPr>
        <w:t>编号：</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ab/>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3"/>
        <w:gridCol w:w="5370"/>
      </w:tblGrid>
      <w:tr w14:paraId="52418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3" w:type="dxa"/>
          </w:tcPr>
          <w:p w14:paraId="368268D4">
            <w:pPr>
              <w:pStyle w:val="21"/>
              <w:numPr>
                <w:ilvl w:val="0"/>
                <w:numId w:val="0"/>
              </w:numPr>
              <w:spacing w:line="360" w:lineRule="auto"/>
              <w:jc w:val="center"/>
              <w:rPr>
                <w:rFonts w:hint="default" w:ascii="宋体" w:hAnsi="宋体" w:eastAsia="宋体" w:cs="宋体"/>
                <w:b/>
                <w:bCs/>
                <w:color w:val="auto"/>
                <w:kern w:val="0"/>
                <w:sz w:val="21"/>
                <w:szCs w:val="21"/>
                <w:vertAlign w:val="baseline"/>
                <w:lang w:val="en-US" w:eastAsia="zh-CN"/>
              </w:rPr>
            </w:pPr>
            <w:r>
              <w:rPr>
                <w:rFonts w:hint="eastAsia" w:ascii="宋体" w:hAnsi="宋体" w:eastAsia="宋体" w:cs="宋体"/>
                <w:b/>
                <w:bCs/>
                <w:color w:val="auto"/>
                <w:kern w:val="0"/>
                <w:sz w:val="21"/>
                <w:szCs w:val="21"/>
                <w:vertAlign w:val="baseline"/>
                <w:lang w:val="en-US" w:eastAsia="zh-CN"/>
              </w:rPr>
              <w:t>投标人</w:t>
            </w:r>
          </w:p>
        </w:tc>
        <w:tc>
          <w:tcPr>
            <w:tcW w:w="5370" w:type="dxa"/>
          </w:tcPr>
          <w:p w14:paraId="77158737">
            <w:pPr>
              <w:pStyle w:val="21"/>
              <w:numPr>
                <w:ilvl w:val="0"/>
                <w:numId w:val="0"/>
              </w:numPr>
              <w:spacing w:line="360" w:lineRule="auto"/>
              <w:jc w:val="center"/>
              <w:rPr>
                <w:rFonts w:hint="default" w:ascii="宋体" w:hAnsi="宋体" w:eastAsia="宋体" w:cs="宋体"/>
                <w:b/>
                <w:bCs/>
                <w:color w:val="auto"/>
                <w:kern w:val="0"/>
                <w:sz w:val="21"/>
                <w:szCs w:val="21"/>
                <w:vertAlign w:val="baseline"/>
                <w:lang w:val="en-US" w:eastAsia="zh-CN"/>
              </w:rPr>
            </w:pPr>
            <w:r>
              <w:rPr>
                <w:rFonts w:hint="eastAsia" w:ascii="宋体" w:hAnsi="宋体" w:eastAsia="宋体" w:cs="宋体"/>
                <w:b/>
                <w:bCs/>
                <w:color w:val="auto"/>
                <w:kern w:val="0"/>
                <w:sz w:val="21"/>
                <w:szCs w:val="21"/>
                <w:vertAlign w:val="baseline"/>
                <w:lang w:val="en-US" w:eastAsia="zh-CN"/>
              </w:rPr>
              <w:t>投标报价（人民币/元）</w:t>
            </w:r>
          </w:p>
        </w:tc>
      </w:tr>
      <w:tr w14:paraId="1222F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2683" w:type="dxa"/>
          </w:tcPr>
          <w:p w14:paraId="4E149C7C">
            <w:pPr>
              <w:pStyle w:val="21"/>
              <w:numPr>
                <w:ilvl w:val="0"/>
                <w:numId w:val="0"/>
              </w:numPr>
              <w:spacing w:line="360" w:lineRule="auto"/>
              <w:jc w:val="left"/>
              <w:rPr>
                <w:rFonts w:hint="default" w:ascii="宋体" w:hAnsi="宋体" w:eastAsia="宋体" w:cs="宋体"/>
                <w:b/>
                <w:bCs/>
                <w:color w:val="auto"/>
                <w:kern w:val="0"/>
                <w:sz w:val="21"/>
                <w:szCs w:val="21"/>
                <w:vertAlign w:val="baseline"/>
                <w:lang w:val="en-US" w:eastAsia="zh-CN"/>
              </w:rPr>
            </w:pPr>
          </w:p>
        </w:tc>
        <w:tc>
          <w:tcPr>
            <w:tcW w:w="5370" w:type="dxa"/>
          </w:tcPr>
          <w:p w14:paraId="13239DE8">
            <w:pPr>
              <w:pStyle w:val="21"/>
              <w:numPr>
                <w:ilvl w:val="0"/>
                <w:numId w:val="0"/>
              </w:numPr>
              <w:spacing w:line="240" w:lineRule="auto"/>
              <w:jc w:val="left"/>
              <w:rPr>
                <w:rFonts w:hint="eastAsia" w:ascii="宋体" w:hAnsi="宋体" w:eastAsia="宋体" w:cs="宋体"/>
                <w:b/>
                <w:bCs/>
                <w:color w:val="auto"/>
                <w:kern w:val="0"/>
                <w:sz w:val="21"/>
                <w:szCs w:val="21"/>
                <w:vertAlign w:val="baseline"/>
                <w:lang w:val="en-US" w:eastAsia="zh-CN"/>
              </w:rPr>
            </w:pPr>
          </w:p>
          <w:p w14:paraId="778733B3">
            <w:pPr>
              <w:pStyle w:val="21"/>
              <w:numPr>
                <w:ilvl w:val="0"/>
                <w:numId w:val="0"/>
              </w:numPr>
              <w:spacing w:line="240" w:lineRule="auto"/>
              <w:jc w:val="left"/>
              <w:rPr>
                <w:rFonts w:hint="eastAsia" w:ascii="宋体" w:hAnsi="宋体" w:eastAsia="宋体" w:cs="宋体"/>
                <w:b/>
                <w:bCs/>
                <w:color w:val="auto"/>
                <w:kern w:val="0"/>
                <w:sz w:val="21"/>
                <w:szCs w:val="21"/>
                <w:vertAlign w:val="baseline"/>
                <w:lang w:val="en-US" w:eastAsia="zh-CN"/>
              </w:rPr>
            </w:pPr>
            <w:r>
              <w:rPr>
                <w:rFonts w:hint="eastAsia" w:ascii="宋体" w:hAnsi="宋体" w:eastAsia="宋体" w:cs="宋体"/>
                <w:b/>
                <w:bCs/>
                <w:color w:val="auto"/>
                <w:kern w:val="0"/>
                <w:sz w:val="21"/>
                <w:szCs w:val="21"/>
                <w:vertAlign w:val="baseline"/>
                <w:lang w:val="en-US" w:eastAsia="zh-CN"/>
              </w:rPr>
              <w:t>大写：</w:t>
            </w:r>
          </w:p>
          <w:p w14:paraId="3A55CA20">
            <w:pPr>
              <w:pStyle w:val="21"/>
              <w:numPr>
                <w:ilvl w:val="0"/>
                <w:numId w:val="0"/>
              </w:numPr>
              <w:spacing w:line="240" w:lineRule="auto"/>
              <w:jc w:val="left"/>
              <w:rPr>
                <w:rFonts w:hint="default" w:ascii="宋体" w:hAnsi="宋体" w:eastAsia="宋体" w:cs="宋体"/>
                <w:b/>
                <w:bCs/>
                <w:color w:val="auto"/>
                <w:kern w:val="0"/>
                <w:sz w:val="21"/>
                <w:szCs w:val="21"/>
                <w:vertAlign w:val="baseline"/>
                <w:lang w:val="en-US" w:eastAsia="zh-CN"/>
              </w:rPr>
            </w:pPr>
            <w:r>
              <w:rPr>
                <w:rFonts w:hint="eastAsia" w:ascii="宋体" w:hAnsi="宋体" w:eastAsia="宋体" w:cs="宋体"/>
                <w:b/>
                <w:bCs/>
                <w:color w:val="auto"/>
                <w:kern w:val="0"/>
                <w:sz w:val="21"/>
                <w:szCs w:val="21"/>
                <w:vertAlign w:val="baseline"/>
                <w:lang w:val="en-US" w:eastAsia="zh-CN"/>
              </w:rPr>
              <w:t>小写：</w:t>
            </w:r>
          </w:p>
        </w:tc>
      </w:tr>
    </w:tbl>
    <w:p w14:paraId="5836F5CA">
      <w:pPr>
        <w:pStyle w:val="21"/>
        <w:numPr>
          <w:ilvl w:val="0"/>
          <w:numId w:val="0"/>
        </w:numPr>
        <w:ind w:leftChars="0"/>
        <w:jc w:val="left"/>
        <w:rPr>
          <w:rFonts w:hint="default" w:ascii="宋体" w:hAnsi="宋体" w:eastAsia="宋体" w:cs="宋体"/>
          <w:b/>
          <w:bCs/>
          <w:color w:val="auto"/>
          <w:kern w:val="0"/>
          <w:sz w:val="21"/>
          <w:szCs w:val="21"/>
          <w:lang w:val="en-US" w:eastAsia="zh-CN"/>
        </w:rPr>
      </w:pPr>
    </w:p>
    <w:p w14:paraId="27C9676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注：1</w:t>
      </w:r>
      <w:r>
        <w:rPr>
          <w:rFonts w:hint="eastAsia" w:ascii="宋体" w:hAnsi="宋体" w:eastAsia="宋体" w:cs="宋体"/>
          <w:sz w:val="21"/>
          <w:szCs w:val="21"/>
          <w:lang w:val="en-US" w:eastAsia="zh-CN"/>
        </w:rPr>
        <w:t>.</w:t>
      </w:r>
      <w:r>
        <w:rPr>
          <w:rFonts w:hint="eastAsia" w:ascii="宋体" w:hAnsi="宋体" w:eastAsia="宋体" w:cs="宋体"/>
          <w:sz w:val="21"/>
          <w:szCs w:val="21"/>
        </w:rPr>
        <w:t>投标报价包括了运至用户指定安装地点的货物及其附件的出厂价（设备费、软件费等）、税费（含增值税等）、包装、运输、装卸、安装、调试、技术服务（包括技术资料）、培训、咨询、服务、保险、检测、验收合格交付使用之前及技术和售后服务等其他各项有关费用（如文件移交、考察等费用），以及一切不可预见费等。</w:t>
      </w:r>
    </w:p>
    <w:p w14:paraId="6B34158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2.报价结果保留到小数点后两位。</w:t>
      </w:r>
    </w:p>
    <w:p w14:paraId="25BB6A41">
      <w:pPr>
        <w:spacing w:line="360" w:lineRule="auto"/>
        <w:ind w:firstLine="632" w:firstLineChars="300"/>
        <w:rPr>
          <w:rFonts w:hint="eastAsia" w:ascii="宋体" w:hAnsi="宋体" w:eastAsia="宋体" w:cs="宋体"/>
          <w:b/>
          <w:bCs/>
          <w:sz w:val="21"/>
          <w:szCs w:val="21"/>
          <w:u w:val="single"/>
          <w:lang w:val="zh-CN"/>
        </w:rPr>
      </w:pPr>
      <w:r>
        <w:rPr>
          <w:rFonts w:hint="eastAsia" w:ascii="宋体" w:hAnsi="宋体" w:eastAsia="宋体" w:cs="宋体"/>
          <w:b/>
          <w:bCs/>
          <w:sz w:val="21"/>
          <w:szCs w:val="21"/>
          <w:u w:val="single"/>
          <w:lang w:val="zh-CN"/>
        </w:rPr>
        <w:t>本表一式二份，一份随</w:t>
      </w:r>
      <w:r>
        <w:rPr>
          <w:rFonts w:hint="eastAsia" w:ascii="宋体" w:hAnsi="宋体" w:eastAsia="宋体" w:cs="宋体"/>
          <w:b/>
          <w:bCs/>
          <w:sz w:val="21"/>
          <w:szCs w:val="21"/>
          <w:u w:val="single"/>
          <w:lang w:val="en-US" w:eastAsia="zh-CN"/>
        </w:rPr>
        <w:t>开标文件一起提交，一份编入报价文件部分</w:t>
      </w:r>
      <w:r>
        <w:rPr>
          <w:rFonts w:hint="eastAsia" w:ascii="宋体" w:hAnsi="宋体" w:eastAsia="宋体" w:cs="宋体"/>
          <w:b/>
          <w:bCs/>
          <w:sz w:val="21"/>
          <w:szCs w:val="21"/>
          <w:u w:val="single"/>
          <w:lang w:val="zh-CN"/>
        </w:rPr>
        <w:t>。</w:t>
      </w:r>
    </w:p>
    <w:p w14:paraId="0008E1FB">
      <w:pPr>
        <w:spacing w:line="360" w:lineRule="auto"/>
        <w:ind w:firstLine="420" w:firstLineChars="200"/>
        <w:rPr>
          <w:rFonts w:hint="eastAsia" w:ascii="宋体" w:hAnsi="宋体" w:eastAsia="宋体" w:cs="宋体"/>
          <w:sz w:val="21"/>
          <w:szCs w:val="21"/>
        </w:rPr>
      </w:pPr>
    </w:p>
    <w:p w14:paraId="22D3D3B7">
      <w:pPr>
        <w:spacing w:line="360" w:lineRule="auto"/>
        <w:ind w:firstLine="420" w:firstLineChars="200"/>
        <w:rPr>
          <w:rFonts w:hint="eastAsia" w:ascii="宋体" w:hAnsi="宋体" w:eastAsia="宋体" w:cs="宋体"/>
          <w:sz w:val="21"/>
          <w:szCs w:val="21"/>
        </w:rPr>
      </w:pPr>
    </w:p>
    <w:p w14:paraId="3923A809">
      <w:pPr>
        <w:spacing w:line="360" w:lineRule="auto"/>
        <w:jc w:val="center"/>
        <w:rPr>
          <w:rFonts w:hint="eastAsia" w:ascii="宋体" w:hAnsi="宋体" w:eastAsia="宋体" w:cs="宋体"/>
          <w:sz w:val="21"/>
          <w:szCs w:val="21"/>
        </w:rPr>
      </w:pPr>
    </w:p>
    <w:p w14:paraId="2EE479BB">
      <w:pPr>
        <w:spacing w:line="360" w:lineRule="auto"/>
        <w:ind w:firstLine="5040" w:firstLineChars="2400"/>
        <w:jc w:val="left"/>
        <w:rPr>
          <w:rFonts w:hint="eastAsia" w:ascii="宋体" w:hAnsi="宋体" w:eastAsia="宋体" w:cs="宋体"/>
          <w:sz w:val="21"/>
          <w:szCs w:val="21"/>
        </w:rPr>
      </w:pPr>
      <w:r>
        <w:rPr>
          <w:rFonts w:hint="eastAsia" w:ascii="宋体" w:hAnsi="宋体" w:eastAsia="宋体" w:cs="宋体"/>
          <w:sz w:val="21"/>
          <w:szCs w:val="21"/>
        </w:rPr>
        <w:t>投标人（公章）：</w:t>
      </w:r>
    </w:p>
    <w:p w14:paraId="7258F0FF">
      <w:pPr>
        <w:spacing w:line="360" w:lineRule="auto"/>
        <w:ind w:firstLine="5040" w:firstLineChars="2400"/>
        <w:jc w:val="left"/>
        <w:rPr>
          <w:rFonts w:hint="eastAsia" w:ascii="宋体" w:hAnsi="宋体" w:eastAsia="宋体" w:cs="宋体"/>
          <w:sz w:val="21"/>
          <w:szCs w:val="21"/>
        </w:rPr>
      </w:pPr>
      <w:r>
        <w:rPr>
          <w:rFonts w:hint="eastAsia" w:ascii="宋体" w:hAnsi="宋体" w:eastAsia="宋体" w:cs="宋体"/>
          <w:sz w:val="21"/>
          <w:szCs w:val="21"/>
        </w:rPr>
        <w:t>法定代表人或其授权代表签名：</w:t>
      </w:r>
    </w:p>
    <w:p w14:paraId="784BEA0C">
      <w:pPr>
        <w:spacing w:line="360" w:lineRule="auto"/>
        <w:ind w:firstLine="5040" w:firstLineChars="2400"/>
        <w:jc w:val="left"/>
        <w:rPr>
          <w:rFonts w:hint="default" w:ascii="宋体" w:hAnsi="宋体" w:eastAsia="宋体" w:cs="宋体"/>
          <w:b/>
          <w:bCs/>
          <w:color w:val="auto"/>
          <w:kern w:val="0"/>
          <w:sz w:val="21"/>
          <w:szCs w:val="21"/>
          <w:lang w:val="en-US" w:eastAsia="zh-CN"/>
        </w:rPr>
        <w:sectPr>
          <w:pgSz w:w="11906" w:h="16838"/>
          <w:pgMar w:top="1440" w:right="1587" w:bottom="1440" w:left="1587" w:header="851" w:footer="992" w:gutter="0"/>
          <w:cols w:space="720" w:num="1"/>
          <w:docGrid w:type="lines" w:linePitch="312" w:charSpace="0"/>
        </w:sectPr>
      </w:pPr>
      <w:r>
        <w:rPr>
          <w:rFonts w:hint="eastAsia" w:ascii="宋体" w:hAnsi="宋体" w:eastAsia="宋体" w:cs="宋体"/>
          <w:sz w:val="21"/>
          <w:szCs w:val="21"/>
        </w:rPr>
        <w:t xml:space="preserve">日期：      年    月    </w:t>
      </w:r>
    </w:p>
    <w:p w14:paraId="7065890A">
      <w:pPr>
        <w:pStyle w:val="21"/>
        <w:numPr>
          <w:ilvl w:val="0"/>
          <w:numId w:val="0"/>
        </w:numPr>
        <w:jc w:val="both"/>
        <w:rPr>
          <w:rFonts w:hint="eastAsia" w:ascii="宋体" w:hAnsi="宋体" w:eastAsia="宋体" w:cs="宋体"/>
          <w:b/>
          <w:bCs/>
          <w:color w:val="auto"/>
          <w:sz w:val="32"/>
          <w:szCs w:val="32"/>
          <w:highlight w:val="none"/>
          <w:lang w:val="en-US" w:eastAsia="zh-CN"/>
        </w:rPr>
      </w:pPr>
    </w:p>
    <w:p w14:paraId="1E26E409">
      <w:pPr>
        <w:pStyle w:val="21"/>
        <w:numPr>
          <w:ilvl w:val="0"/>
          <w:numId w:val="14"/>
        </w:numPr>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报价明细表</w:t>
      </w:r>
    </w:p>
    <w:p w14:paraId="42CCB458">
      <w:pPr>
        <w:pStyle w:val="9"/>
        <w:spacing w:before="120" w:beforeLines="50" w:after="120" w:afterLines="50" w:line="360" w:lineRule="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投标人名称：</w:t>
      </w:r>
      <w:r>
        <w:rPr>
          <w:rFonts w:hint="eastAsia" w:ascii="宋体" w:hAnsi="宋体" w:eastAsia="宋体" w:cs="宋体"/>
          <w:b/>
          <w:bCs/>
          <w:color w:val="auto"/>
          <w:sz w:val="21"/>
          <w:szCs w:val="21"/>
          <w:highlight w:val="none"/>
          <w:u w:val="single"/>
        </w:rPr>
        <w:t xml:space="preserve">                                 </w:t>
      </w:r>
    </w:p>
    <w:p w14:paraId="4610832D">
      <w:pPr>
        <w:pStyle w:val="9"/>
        <w:spacing w:before="120" w:beforeLines="50" w:after="120" w:afterLines="5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招标</w:t>
      </w:r>
      <w:r>
        <w:rPr>
          <w:rFonts w:hint="eastAsia" w:ascii="宋体" w:hAnsi="宋体" w:eastAsia="宋体" w:cs="宋体"/>
          <w:b/>
          <w:bCs/>
          <w:color w:val="auto"/>
          <w:sz w:val="21"/>
          <w:szCs w:val="21"/>
          <w:highlight w:val="none"/>
        </w:rPr>
        <w:t>编号：</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ab/>
      </w:r>
    </w:p>
    <w:p w14:paraId="3F5F4977">
      <w:pPr>
        <w:pStyle w:val="9"/>
        <w:spacing w:before="120" w:beforeLines="50" w:after="120" w:afterLines="50" w:line="360" w:lineRule="auto"/>
        <w:ind w:left="5460" w:leftChars="0" w:firstLine="420" w:firstLineChars="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rPr>
        <w:t>[价格单位：（人民币）元]</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288"/>
        <w:gridCol w:w="1288"/>
        <w:gridCol w:w="1932"/>
        <w:gridCol w:w="1288"/>
        <w:gridCol w:w="1288"/>
        <w:gridCol w:w="1932"/>
        <w:gridCol w:w="644"/>
        <w:gridCol w:w="645"/>
        <w:gridCol w:w="645"/>
        <w:gridCol w:w="1290"/>
        <w:gridCol w:w="1290"/>
      </w:tblGrid>
      <w:tr w14:paraId="0D43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14:paraId="3BD13919">
            <w:pPr>
              <w:spacing w:line="36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1288" w:type="dxa"/>
          </w:tcPr>
          <w:p w14:paraId="763BF909">
            <w:pPr>
              <w:spacing w:line="360" w:lineRule="auto"/>
              <w:jc w:val="center"/>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产品名称</w:t>
            </w:r>
          </w:p>
        </w:tc>
        <w:tc>
          <w:tcPr>
            <w:tcW w:w="1288" w:type="dxa"/>
          </w:tcPr>
          <w:p w14:paraId="55C9EFC2">
            <w:pPr>
              <w:spacing w:line="360" w:lineRule="auto"/>
              <w:jc w:val="center"/>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产品规格</w:t>
            </w:r>
          </w:p>
        </w:tc>
        <w:tc>
          <w:tcPr>
            <w:tcW w:w="1932" w:type="dxa"/>
          </w:tcPr>
          <w:p w14:paraId="1A58BE8A">
            <w:pPr>
              <w:spacing w:line="360" w:lineRule="auto"/>
              <w:jc w:val="center"/>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lang w:val="en-US" w:eastAsia="zh-CN"/>
              </w:rPr>
              <w:t>制造商名称</w:t>
            </w:r>
          </w:p>
        </w:tc>
        <w:tc>
          <w:tcPr>
            <w:tcW w:w="1288" w:type="dxa"/>
          </w:tcPr>
          <w:p w14:paraId="086209D9">
            <w:pPr>
              <w:spacing w:line="36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品牌</w:t>
            </w:r>
          </w:p>
        </w:tc>
        <w:tc>
          <w:tcPr>
            <w:tcW w:w="1288" w:type="dxa"/>
          </w:tcPr>
          <w:p w14:paraId="7C152A6E">
            <w:pPr>
              <w:spacing w:line="360" w:lineRule="auto"/>
              <w:jc w:val="center"/>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产品型号</w:t>
            </w:r>
          </w:p>
        </w:tc>
        <w:tc>
          <w:tcPr>
            <w:tcW w:w="1932" w:type="dxa"/>
          </w:tcPr>
          <w:p w14:paraId="01D2ECDA">
            <w:pPr>
              <w:spacing w:line="360" w:lineRule="auto"/>
              <w:jc w:val="center"/>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lang w:val="en-US" w:eastAsia="zh-CN"/>
              </w:rPr>
              <w:t>原产地（国别）</w:t>
            </w:r>
          </w:p>
        </w:tc>
        <w:tc>
          <w:tcPr>
            <w:tcW w:w="644" w:type="dxa"/>
          </w:tcPr>
          <w:p w14:paraId="0E8383D1">
            <w:pPr>
              <w:spacing w:line="36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数量</w:t>
            </w:r>
          </w:p>
        </w:tc>
        <w:tc>
          <w:tcPr>
            <w:tcW w:w="645" w:type="dxa"/>
          </w:tcPr>
          <w:p w14:paraId="53E2A1AD">
            <w:pPr>
              <w:spacing w:line="36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单位</w:t>
            </w:r>
          </w:p>
        </w:tc>
        <w:tc>
          <w:tcPr>
            <w:tcW w:w="645" w:type="dxa"/>
          </w:tcPr>
          <w:p w14:paraId="5B14546A">
            <w:pPr>
              <w:spacing w:line="36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单价</w:t>
            </w:r>
          </w:p>
        </w:tc>
        <w:tc>
          <w:tcPr>
            <w:tcW w:w="1290" w:type="dxa"/>
          </w:tcPr>
          <w:p w14:paraId="247D3B51">
            <w:pPr>
              <w:spacing w:line="360" w:lineRule="auto"/>
              <w:jc w:val="center"/>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lang w:val="en-US" w:eastAsia="zh-CN"/>
              </w:rPr>
              <w:t>总价</w:t>
            </w:r>
          </w:p>
        </w:tc>
        <w:tc>
          <w:tcPr>
            <w:tcW w:w="1290" w:type="dxa"/>
          </w:tcPr>
          <w:p w14:paraId="21FC1941">
            <w:pPr>
              <w:spacing w:line="36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14:paraId="05692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14:paraId="3105B26F">
            <w:pPr>
              <w:spacing w:line="360" w:lineRule="auto"/>
              <w:rPr>
                <w:rFonts w:hint="eastAsia" w:ascii="宋体" w:hAnsi="宋体" w:eastAsia="宋体" w:cs="宋体"/>
                <w:color w:val="auto"/>
                <w:sz w:val="21"/>
                <w:szCs w:val="21"/>
                <w:highlight w:val="none"/>
                <w:vertAlign w:val="baseline"/>
              </w:rPr>
            </w:pPr>
          </w:p>
        </w:tc>
        <w:tc>
          <w:tcPr>
            <w:tcW w:w="1288" w:type="dxa"/>
          </w:tcPr>
          <w:p w14:paraId="5A0BEAEA">
            <w:pPr>
              <w:spacing w:line="360" w:lineRule="auto"/>
              <w:rPr>
                <w:rFonts w:hint="eastAsia" w:ascii="宋体" w:hAnsi="宋体" w:eastAsia="宋体" w:cs="宋体"/>
                <w:color w:val="auto"/>
                <w:sz w:val="21"/>
                <w:szCs w:val="21"/>
                <w:highlight w:val="none"/>
                <w:vertAlign w:val="baseline"/>
              </w:rPr>
            </w:pPr>
          </w:p>
        </w:tc>
        <w:tc>
          <w:tcPr>
            <w:tcW w:w="1288" w:type="dxa"/>
          </w:tcPr>
          <w:p w14:paraId="688D09A0">
            <w:pPr>
              <w:spacing w:line="360" w:lineRule="auto"/>
              <w:rPr>
                <w:rFonts w:hint="eastAsia" w:ascii="宋体" w:hAnsi="宋体" w:eastAsia="宋体" w:cs="宋体"/>
                <w:color w:val="auto"/>
                <w:sz w:val="21"/>
                <w:szCs w:val="21"/>
                <w:highlight w:val="none"/>
                <w:vertAlign w:val="baseline"/>
              </w:rPr>
            </w:pPr>
          </w:p>
        </w:tc>
        <w:tc>
          <w:tcPr>
            <w:tcW w:w="1932" w:type="dxa"/>
          </w:tcPr>
          <w:p w14:paraId="1B98A3D7">
            <w:pPr>
              <w:spacing w:line="360" w:lineRule="auto"/>
              <w:rPr>
                <w:rFonts w:hint="eastAsia" w:ascii="宋体" w:hAnsi="宋体" w:eastAsia="宋体" w:cs="宋体"/>
                <w:color w:val="auto"/>
                <w:sz w:val="21"/>
                <w:szCs w:val="21"/>
                <w:highlight w:val="none"/>
                <w:vertAlign w:val="baseline"/>
              </w:rPr>
            </w:pPr>
          </w:p>
        </w:tc>
        <w:tc>
          <w:tcPr>
            <w:tcW w:w="1288" w:type="dxa"/>
          </w:tcPr>
          <w:p w14:paraId="2E990763">
            <w:pPr>
              <w:spacing w:line="360" w:lineRule="auto"/>
              <w:rPr>
                <w:rFonts w:hint="eastAsia" w:ascii="宋体" w:hAnsi="宋体" w:eastAsia="宋体" w:cs="宋体"/>
                <w:color w:val="auto"/>
                <w:sz w:val="21"/>
                <w:szCs w:val="21"/>
                <w:highlight w:val="none"/>
                <w:vertAlign w:val="baseline"/>
              </w:rPr>
            </w:pPr>
          </w:p>
        </w:tc>
        <w:tc>
          <w:tcPr>
            <w:tcW w:w="1288" w:type="dxa"/>
          </w:tcPr>
          <w:p w14:paraId="14BB93D5">
            <w:pPr>
              <w:spacing w:line="360" w:lineRule="auto"/>
              <w:rPr>
                <w:rFonts w:hint="eastAsia" w:ascii="宋体" w:hAnsi="宋体" w:eastAsia="宋体" w:cs="宋体"/>
                <w:color w:val="auto"/>
                <w:sz w:val="21"/>
                <w:szCs w:val="21"/>
                <w:highlight w:val="none"/>
                <w:vertAlign w:val="baseline"/>
              </w:rPr>
            </w:pPr>
          </w:p>
        </w:tc>
        <w:tc>
          <w:tcPr>
            <w:tcW w:w="1932" w:type="dxa"/>
          </w:tcPr>
          <w:p w14:paraId="296642C5">
            <w:pPr>
              <w:spacing w:line="360" w:lineRule="auto"/>
              <w:rPr>
                <w:rFonts w:hint="eastAsia" w:ascii="宋体" w:hAnsi="宋体" w:eastAsia="宋体" w:cs="宋体"/>
                <w:color w:val="auto"/>
                <w:sz w:val="21"/>
                <w:szCs w:val="21"/>
                <w:highlight w:val="none"/>
                <w:vertAlign w:val="baseline"/>
              </w:rPr>
            </w:pPr>
          </w:p>
        </w:tc>
        <w:tc>
          <w:tcPr>
            <w:tcW w:w="644" w:type="dxa"/>
          </w:tcPr>
          <w:p w14:paraId="211D21C1">
            <w:pPr>
              <w:spacing w:line="360" w:lineRule="auto"/>
              <w:rPr>
                <w:rFonts w:hint="eastAsia" w:ascii="宋体" w:hAnsi="宋体" w:eastAsia="宋体" w:cs="宋体"/>
                <w:color w:val="auto"/>
                <w:sz w:val="21"/>
                <w:szCs w:val="21"/>
                <w:highlight w:val="none"/>
                <w:vertAlign w:val="baseline"/>
              </w:rPr>
            </w:pPr>
          </w:p>
        </w:tc>
        <w:tc>
          <w:tcPr>
            <w:tcW w:w="645" w:type="dxa"/>
          </w:tcPr>
          <w:p w14:paraId="37A3AF37">
            <w:pPr>
              <w:spacing w:line="360" w:lineRule="auto"/>
              <w:rPr>
                <w:rFonts w:hint="eastAsia" w:ascii="宋体" w:hAnsi="宋体" w:eastAsia="宋体" w:cs="宋体"/>
                <w:color w:val="auto"/>
                <w:sz w:val="21"/>
                <w:szCs w:val="21"/>
                <w:highlight w:val="none"/>
                <w:vertAlign w:val="baseline"/>
              </w:rPr>
            </w:pPr>
          </w:p>
        </w:tc>
        <w:tc>
          <w:tcPr>
            <w:tcW w:w="645" w:type="dxa"/>
          </w:tcPr>
          <w:p w14:paraId="7F20A252">
            <w:pPr>
              <w:spacing w:line="360" w:lineRule="auto"/>
              <w:rPr>
                <w:rFonts w:hint="eastAsia" w:ascii="宋体" w:hAnsi="宋体" w:eastAsia="宋体" w:cs="宋体"/>
                <w:color w:val="auto"/>
                <w:sz w:val="21"/>
                <w:szCs w:val="21"/>
                <w:highlight w:val="none"/>
                <w:vertAlign w:val="baseline"/>
              </w:rPr>
            </w:pPr>
          </w:p>
        </w:tc>
        <w:tc>
          <w:tcPr>
            <w:tcW w:w="1290" w:type="dxa"/>
          </w:tcPr>
          <w:p w14:paraId="6D8400F0">
            <w:pPr>
              <w:spacing w:line="360" w:lineRule="auto"/>
              <w:rPr>
                <w:rFonts w:hint="eastAsia" w:ascii="宋体" w:hAnsi="宋体" w:eastAsia="宋体" w:cs="宋体"/>
                <w:color w:val="auto"/>
                <w:sz w:val="21"/>
                <w:szCs w:val="21"/>
                <w:highlight w:val="none"/>
                <w:vertAlign w:val="baseline"/>
              </w:rPr>
            </w:pPr>
          </w:p>
        </w:tc>
        <w:tc>
          <w:tcPr>
            <w:tcW w:w="1290" w:type="dxa"/>
          </w:tcPr>
          <w:p w14:paraId="69D50D94">
            <w:pPr>
              <w:spacing w:line="360" w:lineRule="auto"/>
              <w:rPr>
                <w:rFonts w:hint="eastAsia" w:ascii="宋体" w:hAnsi="宋体" w:eastAsia="宋体" w:cs="宋体"/>
                <w:color w:val="auto"/>
                <w:sz w:val="21"/>
                <w:szCs w:val="21"/>
                <w:highlight w:val="none"/>
                <w:vertAlign w:val="baseline"/>
              </w:rPr>
            </w:pPr>
          </w:p>
        </w:tc>
      </w:tr>
      <w:tr w14:paraId="5CB5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4" w:type="dxa"/>
            <w:gridSpan w:val="10"/>
          </w:tcPr>
          <w:p w14:paraId="44D464F2">
            <w:pPr>
              <w:spacing w:line="36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总计</w:t>
            </w:r>
          </w:p>
        </w:tc>
        <w:tc>
          <w:tcPr>
            <w:tcW w:w="1290" w:type="dxa"/>
          </w:tcPr>
          <w:p w14:paraId="4EB7B5F1">
            <w:pPr>
              <w:spacing w:line="360" w:lineRule="auto"/>
              <w:jc w:val="center"/>
              <w:rPr>
                <w:rFonts w:hint="eastAsia" w:ascii="宋体" w:hAnsi="宋体" w:eastAsia="宋体" w:cs="宋体"/>
                <w:b/>
                <w:bCs/>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lang w:eastAsia="zh-CN"/>
              </w:rPr>
              <w:t>（</w:t>
            </w:r>
            <w:r>
              <w:rPr>
                <w:rFonts w:hint="eastAsia" w:ascii="宋体" w:hAnsi="宋体" w:eastAsia="宋体" w:cs="宋体"/>
                <w:b/>
                <w:bCs/>
                <w:color w:val="auto"/>
                <w:sz w:val="21"/>
                <w:szCs w:val="21"/>
                <w:highlight w:val="none"/>
                <w:vertAlign w:val="baseline"/>
                <w:lang w:val="en-US" w:eastAsia="zh-CN"/>
              </w:rPr>
              <w:t>大写</w:t>
            </w:r>
            <w:r>
              <w:rPr>
                <w:rFonts w:hint="eastAsia" w:ascii="宋体" w:hAnsi="宋体" w:eastAsia="宋体" w:cs="宋体"/>
                <w:b/>
                <w:bCs/>
                <w:color w:val="auto"/>
                <w:sz w:val="21"/>
                <w:szCs w:val="21"/>
                <w:highlight w:val="none"/>
                <w:vertAlign w:val="baseline"/>
                <w:lang w:eastAsia="zh-CN"/>
              </w:rPr>
              <w:t>）</w:t>
            </w:r>
          </w:p>
        </w:tc>
        <w:tc>
          <w:tcPr>
            <w:tcW w:w="1290" w:type="dxa"/>
          </w:tcPr>
          <w:p w14:paraId="57CBD9B1">
            <w:pPr>
              <w:spacing w:line="360" w:lineRule="auto"/>
              <w:jc w:val="center"/>
              <w:rPr>
                <w:rFonts w:hint="eastAsia" w:ascii="宋体" w:hAnsi="宋体" w:eastAsia="宋体" w:cs="宋体"/>
                <w:b/>
                <w:bCs/>
                <w:color w:val="auto"/>
                <w:sz w:val="21"/>
                <w:szCs w:val="21"/>
                <w:highlight w:val="none"/>
                <w:vertAlign w:val="baseline"/>
              </w:rPr>
            </w:pPr>
          </w:p>
        </w:tc>
      </w:tr>
    </w:tbl>
    <w:p w14:paraId="3BC1DC6B">
      <w:pPr>
        <w:rPr>
          <w:rFonts w:hint="eastAsia" w:ascii="宋体" w:hAnsi="宋体" w:eastAsia="宋体" w:cs="宋体"/>
          <w:color w:val="auto"/>
          <w:sz w:val="21"/>
          <w:szCs w:val="21"/>
          <w:highlight w:val="none"/>
        </w:rPr>
      </w:pPr>
    </w:p>
    <w:p w14:paraId="37F68F37">
      <w:pPr>
        <w:pStyle w:val="9"/>
        <w:spacing w:line="360" w:lineRule="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提示：“原产地”是指货物的实际生产加工地，非品牌所在地；“制造商”是指产品品牌厂商，同一品牌国内外均有制造商的，应填写国内制造商；产品代工制造的，应填写接受委托生产制造的制造商等。</w:t>
      </w:r>
    </w:p>
    <w:p w14:paraId="66AC82E8">
      <w:pPr>
        <w:pStyle w:val="9"/>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投标人（公章）：</w:t>
      </w:r>
    </w:p>
    <w:p w14:paraId="0658677C">
      <w:pPr>
        <w:pStyle w:val="9"/>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法定代表人或其授权代表签名： </w:t>
      </w:r>
    </w:p>
    <w:p w14:paraId="6B40724C">
      <w:pPr>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日期：     年      月    日</w:t>
      </w:r>
    </w:p>
    <w:p w14:paraId="076C182C">
      <w:pPr>
        <w:pStyle w:val="21"/>
        <w:numPr>
          <w:ilvl w:val="0"/>
          <w:numId w:val="0"/>
        </w:numPr>
        <w:jc w:val="both"/>
        <w:rPr>
          <w:rFonts w:hint="eastAsia" w:ascii="宋体" w:hAnsi="宋体" w:eastAsia="宋体" w:cs="宋体"/>
          <w:b/>
          <w:bCs/>
          <w:color w:val="auto"/>
          <w:sz w:val="21"/>
          <w:szCs w:val="21"/>
          <w:highlight w:val="none"/>
          <w:lang w:val="en-US" w:eastAsia="zh-CN"/>
        </w:rPr>
        <w:sectPr>
          <w:pgSz w:w="16838" w:h="11906" w:orient="landscape"/>
          <w:pgMar w:top="1587" w:right="1440" w:bottom="1587" w:left="1440" w:header="851" w:footer="992" w:gutter="0"/>
          <w:cols w:space="720" w:num="1"/>
          <w:docGrid w:type="lines" w:linePitch="312" w:charSpace="0"/>
        </w:sectPr>
      </w:pPr>
    </w:p>
    <w:p w14:paraId="4DE8D6DE">
      <w:pPr>
        <w:pStyle w:val="21"/>
        <w:numPr>
          <w:ilvl w:val="0"/>
          <w:numId w:val="14"/>
        </w:numPr>
        <w:jc w:val="center"/>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货物说明一览表</w:t>
      </w:r>
    </w:p>
    <w:p w14:paraId="3D669A16">
      <w:pPr>
        <w:pStyle w:val="9"/>
        <w:spacing w:before="120" w:beforeLines="50" w:after="120" w:afterLines="50" w:line="360" w:lineRule="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投标人名称：</w:t>
      </w:r>
      <w:r>
        <w:rPr>
          <w:rFonts w:hint="eastAsia" w:ascii="宋体" w:hAnsi="宋体" w:eastAsia="宋体" w:cs="宋体"/>
          <w:b/>
          <w:bCs/>
          <w:color w:val="auto"/>
          <w:sz w:val="21"/>
          <w:szCs w:val="21"/>
          <w:highlight w:val="none"/>
          <w:u w:val="single"/>
        </w:rPr>
        <w:t xml:space="preserve">                                 </w:t>
      </w:r>
    </w:p>
    <w:p w14:paraId="2EB415F9">
      <w:pPr>
        <w:pStyle w:val="9"/>
        <w:spacing w:before="120" w:beforeLines="50" w:after="120" w:afterLines="50" w:line="360" w:lineRule="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招标</w:t>
      </w:r>
      <w:r>
        <w:rPr>
          <w:rFonts w:hint="eastAsia" w:ascii="宋体" w:hAnsi="宋体" w:eastAsia="宋体" w:cs="宋体"/>
          <w:b/>
          <w:bCs/>
          <w:color w:val="auto"/>
          <w:sz w:val="21"/>
          <w:szCs w:val="21"/>
          <w:highlight w:val="none"/>
        </w:rPr>
        <w:t>编号：</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ab/>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376"/>
        <w:gridCol w:w="1376"/>
        <w:gridCol w:w="1376"/>
        <w:gridCol w:w="1376"/>
        <w:gridCol w:w="1378"/>
        <w:gridCol w:w="1378"/>
      </w:tblGrid>
      <w:tr w14:paraId="4FA5D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14:paraId="13A6B1E8">
            <w:pPr>
              <w:pStyle w:val="21"/>
              <w:widowControl w:val="0"/>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1376" w:type="dxa"/>
          </w:tcPr>
          <w:p w14:paraId="6EA16D6B">
            <w:pPr>
              <w:pStyle w:val="21"/>
              <w:widowControl w:val="0"/>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货物名称</w:t>
            </w:r>
          </w:p>
        </w:tc>
        <w:tc>
          <w:tcPr>
            <w:tcW w:w="1376" w:type="dxa"/>
          </w:tcPr>
          <w:p w14:paraId="4B619A93">
            <w:pPr>
              <w:pStyle w:val="21"/>
              <w:widowControl w:val="0"/>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主要规格</w:t>
            </w:r>
          </w:p>
        </w:tc>
        <w:tc>
          <w:tcPr>
            <w:tcW w:w="1376" w:type="dxa"/>
          </w:tcPr>
          <w:p w14:paraId="311222F0">
            <w:pPr>
              <w:pStyle w:val="21"/>
              <w:widowControl w:val="0"/>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数量/单位</w:t>
            </w:r>
          </w:p>
        </w:tc>
        <w:tc>
          <w:tcPr>
            <w:tcW w:w="1376" w:type="dxa"/>
          </w:tcPr>
          <w:p w14:paraId="4E17656A">
            <w:pPr>
              <w:pStyle w:val="21"/>
              <w:widowControl w:val="0"/>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交货期</w:t>
            </w:r>
          </w:p>
        </w:tc>
        <w:tc>
          <w:tcPr>
            <w:tcW w:w="1378" w:type="dxa"/>
          </w:tcPr>
          <w:p w14:paraId="56E15870">
            <w:pPr>
              <w:pStyle w:val="21"/>
              <w:widowControl w:val="0"/>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交货地点</w:t>
            </w:r>
          </w:p>
        </w:tc>
        <w:tc>
          <w:tcPr>
            <w:tcW w:w="1378" w:type="dxa"/>
          </w:tcPr>
          <w:p w14:paraId="47024953">
            <w:pPr>
              <w:pStyle w:val="21"/>
              <w:widowControl w:val="0"/>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其他</w:t>
            </w:r>
          </w:p>
        </w:tc>
      </w:tr>
      <w:tr w14:paraId="1169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14:paraId="14A1D42F">
            <w:pPr>
              <w:pStyle w:val="21"/>
              <w:widowControl w:val="0"/>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p>
        </w:tc>
        <w:tc>
          <w:tcPr>
            <w:tcW w:w="1376" w:type="dxa"/>
          </w:tcPr>
          <w:p w14:paraId="205F1EF1">
            <w:pPr>
              <w:pStyle w:val="21"/>
              <w:widowControl w:val="0"/>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p>
        </w:tc>
        <w:tc>
          <w:tcPr>
            <w:tcW w:w="1376" w:type="dxa"/>
          </w:tcPr>
          <w:p w14:paraId="7376D9E2">
            <w:pPr>
              <w:pStyle w:val="21"/>
              <w:widowControl w:val="0"/>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p>
        </w:tc>
        <w:tc>
          <w:tcPr>
            <w:tcW w:w="1376" w:type="dxa"/>
          </w:tcPr>
          <w:p w14:paraId="2D5185C4">
            <w:pPr>
              <w:pStyle w:val="21"/>
              <w:widowControl w:val="0"/>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p>
        </w:tc>
        <w:tc>
          <w:tcPr>
            <w:tcW w:w="1376" w:type="dxa"/>
          </w:tcPr>
          <w:p w14:paraId="09950C57">
            <w:pPr>
              <w:pStyle w:val="21"/>
              <w:widowControl w:val="0"/>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p>
        </w:tc>
        <w:tc>
          <w:tcPr>
            <w:tcW w:w="1378" w:type="dxa"/>
          </w:tcPr>
          <w:p w14:paraId="2666A8BB">
            <w:pPr>
              <w:pStyle w:val="21"/>
              <w:widowControl w:val="0"/>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p>
        </w:tc>
        <w:tc>
          <w:tcPr>
            <w:tcW w:w="1378" w:type="dxa"/>
          </w:tcPr>
          <w:p w14:paraId="3B6D99A7">
            <w:pPr>
              <w:pStyle w:val="21"/>
              <w:widowControl w:val="0"/>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p>
        </w:tc>
      </w:tr>
      <w:tr w14:paraId="5A6B5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14:paraId="1430587C">
            <w:pPr>
              <w:pStyle w:val="21"/>
              <w:widowControl w:val="0"/>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p>
        </w:tc>
        <w:tc>
          <w:tcPr>
            <w:tcW w:w="1376" w:type="dxa"/>
          </w:tcPr>
          <w:p w14:paraId="52ABC438">
            <w:pPr>
              <w:pStyle w:val="21"/>
              <w:widowControl w:val="0"/>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p>
        </w:tc>
        <w:tc>
          <w:tcPr>
            <w:tcW w:w="1376" w:type="dxa"/>
          </w:tcPr>
          <w:p w14:paraId="69C954C4">
            <w:pPr>
              <w:pStyle w:val="21"/>
              <w:widowControl w:val="0"/>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p>
        </w:tc>
        <w:tc>
          <w:tcPr>
            <w:tcW w:w="1376" w:type="dxa"/>
          </w:tcPr>
          <w:p w14:paraId="5BE73EC3">
            <w:pPr>
              <w:pStyle w:val="21"/>
              <w:widowControl w:val="0"/>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p>
        </w:tc>
        <w:tc>
          <w:tcPr>
            <w:tcW w:w="1376" w:type="dxa"/>
          </w:tcPr>
          <w:p w14:paraId="6A46083B">
            <w:pPr>
              <w:pStyle w:val="21"/>
              <w:widowControl w:val="0"/>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p>
        </w:tc>
        <w:tc>
          <w:tcPr>
            <w:tcW w:w="1378" w:type="dxa"/>
          </w:tcPr>
          <w:p w14:paraId="31C815B9">
            <w:pPr>
              <w:pStyle w:val="21"/>
              <w:widowControl w:val="0"/>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p>
        </w:tc>
        <w:tc>
          <w:tcPr>
            <w:tcW w:w="1378" w:type="dxa"/>
          </w:tcPr>
          <w:p w14:paraId="1E68300D">
            <w:pPr>
              <w:pStyle w:val="21"/>
              <w:widowControl w:val="0"/>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p>
        </w:tc>
      </w:tr>
      <w:tr w14:paraId="6EBD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14:paraId="14853065">
            <w:pPr>
              <w:pStyle w:val="21"/>
              <w:widowControl w:val="0"/>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p>
        </w:tc>
        <w:tc>
          <w:tcPr>
            <w:tcW w:w="1376" w:type="dxa"/>
          </w:tcPr>
          <w:p w14:paraId="5DFA62F8">
            <w:pPr>
              <w:pStyle w:val="21"/>
              <w:widowControl w:val="0"/>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p>
        </w:tc>
        <w:tc>
          <w:tcPr>
            <w:tcW w:w="1376" w:type="dxa"/>
          </w:tcPr>
          <w:p w14:paraId="16504095">
            <w:pPr>
              <w:pStyle w:val="21"/>
              <w:widowControl w:val="0"/>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p>
        </w:tc>
        <w:tc>
          <w:tcPr>
            <w:tcW w:w="1376" w:type="dxa"/>
          </w:tcPr>
          <w:p w14:paraId="60BD85BC">
            <w:pPr>
              <w:pStyle w:val="21"/>
              <w:widowControl w:val="0"/>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p>
        </w:tc>
        <w:tc>
          <w:tcPr>
            <w:tcW w:w="1376" w:type="dxa"/>
          </w:tcPr>
          <w:p w14:paraId="04EFFE4C">
            <w:pPr>
              <w:pStyle w:val="21"/>
              <w:widowControl w:val="0"/>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p>
        </w:tc>
        <w:tc>
          <w:tcPr>
            <w:tcW w:w="1378" w:type="dxa"/>
          </w:tcPr>
          <w:p w14:paraId="6B2589EE">
            <w:pPr>
              <w:pStyle w:val="21"/>
              <w:widowControl w:val="0"/>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p>
        </w:tc>
        <w:tc>
          <w:tcPr>
            <w:tcW w:w="1378" w:type="dxa"/>
          </w:tcPr>
          <w:p w14:paraId="0C43B0FE">
            <w:pPr>
              <w:pStyle w:val="21"/>
              <w:widowControl w:val="0"/>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p>
        </w:tc>
      </w:tr>
      <w:tr w14:paraId="4F6BF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14:paraId="62A66050">
            <w:pPr>
              <w:pStyle w:val="21"/>
              <w:widowControl w:val="0"/>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p>
        </w:tc>
        <w:tc>
          <w:tcPr>
            <w:tcW w:w="1376" w:type="dxa"/>
          </w:tcPr>
          <w:p w14:paraId="0B9E23E4">
            <w:pPr>
              <w:pStyle w:val="21"/>
              <w:widowControl w:val="0"/>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p>
        </w:tc>
        <w:tc>
          <w:tcPr>
            <w:tcW w:w="1376" w:type="dxa"/>
          </w:tcPr>
          <w:p w14:paraId="61E3F5D9">
            <w:pPr>
              <w:pStyle w:val="21"/>
              <w:widowControl w:val="0"/>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p>
        </w:tc>
        <w:tc>
          <w:tcPr>
            <w:tcW w:w="1376" w:type="dxa"/>
          </w:tcPr>
          <w:p w14:paraId="3C8E5C93">
            <w:pPr>
              <w:pStyle w:val="21"/>
              <w:widowControl w:val="0"/>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p>
        </w:tc>
        <w:tc>
          <w:tcPr>
            <w:tcW w:w="1376" w:type="dxa"/>
          </w:tcPr>
          <w:p w14:paraId="28DB6FED">
            <w:pPr>
              <w:pStyle w:val="21"/>
              <w:widowControl w:val="0"/>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p>
        </w:tc>
        <w:tc>
          <w:tcPr>
            <w:tcW w:w="1378" w:type="dxa"/>
          </w:tcPr>
          <w:p w14:paraId="3795459E">
            <w:pPr>
              <w:pStyle w:val="21"/>
              <w:widowControl w:val="0"/>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p>
        </w:tc>
        <w:tc>
          <w:tcPr>
            <w:tcW w:w="1378" w:type="dxa"/>
          </w:tcPr>
          <w:p w14:paraId="2EDC2DF7">
            <w:pPr>
              <w:pStyle w:val="21"/>
              <w:widowControl w:val="0"/>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p>
        </w:tc>
      </w:tr>
      <w:tr w14:paraId="1045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14:paraId="1C3692D8">
            <w:pPr>
              <w:pStyle w:val="21"/>
              <w:widowControl w:val="0"/>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p>
        </w:tc>
        <w:tc>
          <w:tcPr>
            <w:tcW w:w="1376" w:type="dxa"/>
          </w:tcPr>
          <w:p w14:paraId="3E4441D6">
            <w:pPr>
              <w:pStyle w:val="21"/>
              <w:widowControl w:val="0"/>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p>
        </w:tc>
        <w:tc>
          <w:tcPr>
            <w:tcW w:w="1376" w:type="dxa"/>
          </w:tcPr>
          <w:p w14:paraId="3ED94948">
            <w:pPr>
              <w:pStyle w:val="21"/>
              <w:widowControl w:val="0"/>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p>
        </w:tc>
        <w:tc>
          <w:tcPr>
            <w:tcW w:w="1376" w:type="dxa"/>
          </w:tcPr>
          <w:p w14:paraId="457B220E">
            <w:pPr>
              <w:pStyle w:val="21"/>
              <w:widowControl w:val="0"/>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p>
        </w:tc>
        <w:tc>
          <w:tcPr>
            <w:tcW w:w="1376" w:type="dxa"/>
          </w:tcPr>
          <w:p w14:paraId="25186C4D">
            <w:pPr>
              <w:pStyle w:val="21"/>
              <w:widowControl w:val="0"/>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p>
        </w:tc>
        <w:tc>
          <w:tcPr>
            <w:tcW w:w="1378" w:type="dxa"/>
          </w:tcPr>
          <w:p w14:paraId="5CCBB175">
            <w:pPr>
              <w:pStyle w:val="21"/>
              <w:widowControl w:val="0"/>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p>
        </w:tc>
        <w:tc>
          <w:tcPr>
            <w:tcW w:w="1378" w:type="dxa"/>
          </w:tcPr>
          <w:p w14:paraId="5D440C91">
            <w:pPr>
              <w:pStyle w:val="21"/>
              <w:widowControl w:val="0"/>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p>
        </w:tc>
      </w:tr>
    </w:tbl>
    <w:p w14:paraId="2D944669">
      <w:pPr>
        <w:pStyle w:val="9"/>
        <w:tabs>
          <w:tab w:val="left" w:pos="5580"/>
        </w:tabs>
        <w:spacing w:before="120" w:line="22" w:lineRule="atLeast"/>
        <w:ind w:firstLine="211" w:firstLineChars="100"/>
        <w:rPr>
          <w:rFonts w:hint="eastAsia" w:hAnsi="宋体" w:cs="宋体"/>
          <w:b/>
          <w:bCs/>
          <w:color w:val="auto"/>
          <w:szCs w:val="21"/>
          <w:highlight w:val="none"/>
        </w:rPr>
      </w:pPr>
    </w:p>
    <w:p w14:paraId="019AB813">
      <w:pPr>
        <w:pStyle w:val="9"/>
        <w:tabs>
          <w:tab w:val="left" w:pos="5580"/>
        </w:tabs>
        <w:spacing w:before="120" w:line="22" w:lineRule="atLeast"/>
        <w:ind w:firstLine="211" w:firstLineChars="100"/>
        <w:rPr>
          <w:rFonts w:hint="eastAsia" w:hAnsi="宋体" w:cs="宋体"/>
          <w:b/>
          <w:bCs/>
          <w:color w:val="auto"/>
          <w:szCs w:val="21"/>
          <w:highlight w:val="none"/>
        </w:rPr>
      </w:pPr>
    </w:p>
    <w:p w14:paraId="332B8A8D">
      <w:pPr>
        <w:pStyle w:val="9"/>
        <w:tabs>
          <w:tab w:val="left" w:pos="5580"/>
        </w:tabs>
        <w:spacing w:before="120" w:line="22" w:lineRule="atLeast"/>
        <w:ind w:firstLine="211" w:firstLineChars="100"/>
        <w:rPr>
          <w:rFonts w:hint="eastAsia" w:hAnsi="宋体" w:cs="宋体"/>
          <w:b/>
          <w:bCs/>
          <w:color w:val="auto"/>
          <w:szCs w:val="21"/>
          <w:highlight w:val="none"/>
        </w:rPr>
      </w:pPr>
    </w:p>
    <w:p w14:paraId="210BC3D0">
      <w:pPr>
        <w:pStyle w:val="9"/>
        <w:tabs>
          <w:tab w:val="left" w:pos="5580"/>
        </w:tabs>
        <w:spacing w:before="120" w:line="22" w:lineRule="atLeast"/>
        <w:ind w:firstLine="211" w:firstLineChars="100"/>
        <w:rPr>
          <w:rFonts w:hint="eastAsia" w:hAnsi="宋体" w:cs="宋体"/>
          <w:color w:val="auto"/>
          <w:szCs w:val="21"/>
          <w:highlight w:val="none"/>
          <w:u w:val="single"/>
        </w:rPr>
      </w:pPr>
      <w:r>
        <w:rPr>
          <w:rFonts w:hint="eastAsia" w:hAnsi="宋体" w:cs="宋体"/>
          <w:b/>
          <w:bCs/>
          <w:color w:val="auto"/>
          <w:szCs w:val="21"/>
          <w:highlight w:val="none"/>
        </w:rPr>
        <w:t>法定代表人或其授权代表</w:t>
      </w:r>
      <w:r>
        <w:rPr>
          <w:rFonts w:hint="eastAsia" w:hAnsi="宋体" w:cs="宋体"/>
          <w:color w:val="auto"/>
          <w:szCs w:val="21"/>
          <w:highlight w:val="none"/>
        </w:rPr>
        <w:t xml:space="preserve"> (签字)： </w:t>
      </w:r>
      <w:r>
        <w:rPr>
          <w:rFonts w:hint="eastAsia" w:hAnsi="宋体" w:cs="宋体"/>
          <w:color w:val="auto"/>
          <w:szCs w:val="21"/>
          <w:highlight w:val="none"/>
          <w:u w:val="single"/>
        </w:rPr>
        <w:tab/>
      </w:r>
    </w:p>
    <w:p w14:paraId="132A3EF0">
      <w:pPr>
        <w:pStyle w:val="9"/>
        <w:tabs>
          <w:tab w:val="left" w:pos="5370"/>
        </w:tabs>
        <w:spacing w:before="120" w:line="22" w:lineRule="atLeast"/>
        <w:ind w:firstLine="210" w:firstLineChars="100"/>
        <w:rPr>
          <w:rFonts w:hint="eastAsia" w:hAnsi="宋体" w:cs="宋体"/>
          <w:color w:val="auto"/>
          <w:szCs w:val="21"/>
          <w:highlight w:val="none"/>
          <w:u w:val="single"/>
        </w:rPr>
      </w:pPr>
      <w:r>
        <w:rPr>
          <w:rFonts w:hint="eastAsia" w:hAnsi="宋体" w:cs="宋体"/>
          <w:color w:val="auto"/>
          <w:szCs w:val="21"/>
          <w:highlight w:val="none"/>
        </w:rPr>
        <w:t>投标人(盖章)：</w:t>
      </w:r>
      <w:r>
        <w:rPr>
          <w:rFonts w:hint="eastAsia" w:hAnsi="宋体" w:cs="宋体"/>
          <w:color w:val="auto"/>
          <w:szCs w:val="21"/>
          <w:highlight w:val="none"/>
          <w:u w:val="single"/>
        </w:rPr>
        <w:tab/>
      </w:r>
    </w:p>
    <w:p w14:paraId="26FAC745">
      <w:pPr>
        <w:pStyle w:val="9"/>
        <w:rPr>
          <w:rFonts w:hint="eastAsia" w:hAnsi="宋体" w:cs="宋体"/>
          <w:color w:val="auto"/>
          <w:szCs w:val="21"/>
          <w:highlight w:val="none"/>
        </w:rPr>
      </w:pPr>
    </w:p>
    <w:p w14:paraId="1B99CD0C">
      <w:pPr>
        <w:tabs>
          <w:tab w:val="left" w:pos="266"/>
        </w:tabs>
        <w:rPr>
          <w:rFonts w:hint="eastAsia" w:ascii="宋体" w:hAnsi="宋体" w:cs="宋体"/>
          <w:b/>
          <w:bCs/>
          <w:color w:val="auto"/>
          <w:sz w:val="24"/>
          <w:highlight w:val="none"/>
        </w:rPr>
      </w:pPr>
      <w:r>
        <w:rPr>
          <w:rFonts w:hint="eastAsia" w:ascii="宋体" w:hAnsi="宋体" w:cs="宋体"/>
          <w:color w:val="auto"/>
          <w:szCs w:val="21"/>
          <w:highlight w:val="none"/>
        </w:rPr>
        <w:t>注： 各项货物详细技术性能应另页描述。</w:t>
      </w:r>
    </w:p>
    <w:p w14:paraId="04BD6655">
      <w:pPr>
        <w:pStyle w:val="21"/>
        <w:widowControl w:val="0"/>
        <w:numPr>
          <w:ilvl w:val="0"/>
          <w:numId w:val="0"/>
        </w:numPr>
        <w:spacing w:line="560" w:lineRule="exact"/>
        <w:jc w:val="both"/>
        <w:rPr>
          <w:rFonts w:hint="default" w:ascii="宋体" w:hAnsi="宋体" w:eastAsia="宋体" w:cs="宋体"/>
          <w:b/>
          <w:bCs/>
          <w:color w:val="auto"/>
          <w:sz w:val="21"/>
          <w:szCs w:val="21"/>
          <w:highlight w:val="none"/>
          <w:lang w:val="en-US" w:eastAsia="zh-CN"/>
        </w:rPr>
        <w:sectPr>
          <w:pgSz w:w="11906" w:h="16838"/>
          <w:pgMar w:top="1440" w:right="1587" w:bottom="1440" w:left="1587" w:header="851" w:footer="992" w:gutter="0"/>
          <w:cols w:space="720" w:num="1"/>
          <w:docGrid w:type="lines" w:linePitch="312" w:charSpace="0"/>
        </w:sectPr>
      </w:pPr>
    </w:p>
    <w:p w14:paraId="0F3E978C">
      <w:pPr>
        <w:pStyle w:val="21"/>
        <w:numPr>
          <w:ilvl w:val="0"/>
          <w:numId w:val="13"/>
        </w:numPr>
        <w:ind w:leftChars="0"/>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lang w:val="en-US" w:eastAsia="zh-CN"/>
        </w:rPr>
        <w:t>资格性、符合性审查文件</w:t>
      </w:r>
    </w:p>
    <w:p w14:paraId="12527295">
      <w:pPr>
        <w:spacing w:line="360" w:lineRule="auto"/>
        <w:jc w:val="center"/>
        <w:outlineLvl w:val="3"/>
        <w:rPr>
          <w:rFonts w:hint="eastAsia" w:ascii="宋体" w:hAnsi="宋体" w:eastAsia="宋体" w:cs="宋体"/>
          <w:b/>
          <w:bCs/>
          <w:color w:val="auto"/>
          <w:sz w:val="30"/>
          <w:szCs w:val="30"/>
          <w:highlight w:val="none"/>
          <w:lang w:val="en-US" w:eastAsia="zh-CN"/>
        </w:rPr>
      </w:pPr>
      <w:r>
        <w:rPr>
          <w:rFonts w:hint="eastAsia" w:ascii="宋体" w:hAnsi="宋体" w:cs="宋体"/>
          <w:b/>
          <w:color w:val="auto"/>
          <w:sz w:val="30"/>
          <w:szCs w:val="30"/>
          <w:highlight w:val="none"/>
        </w:rPr>
        <w:t>一、</w:t>
      </w:r>
      <w:r>
        <w:rPr>
          <w:rFonts w:hint="eastAsia" w:ascii="宋体" w:hAnsi="宋体" w:cs="宋体"/>
          <w:b/>
          <w:color w:val="auto"/>
          <w:sz w:val="32"/>
          <w:szCs w:val="32"/>
          <w:highlight w:val="none"/>
        </w:rPr>
        <w:t>投标函</w:t>
      </w:r>
    </w:p>
    <w:p w14:paraId="6CBB5FFD">
      <w:pPr>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致</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lang w:eastAsia="zh-CN"/>
        </w:rPr>
        <w:t>深圳市第二实验学校明远高中</w:t>
      </w:r>
    </w:p>
    <w:p w14:paraId="3D19E8B2">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我方确认收到贵方提供的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）的招标文件的全部内容，我方：</w:t>
      </w:r>
      <w:r>
        <w:rPr>
          <w:rFonts w:hint="eastAsia" w:ascii="宋体" w:hAnsi="宋体" w:eastAsia="宋体" w:cs="宋体"/>
          <w:color w:val="auto"/>
          <w:sz w:val="24"/>
          <w:szCs w:val="24"/>
          <w:highlight w:val="none"/>
          <w:u w:val="single"/>
        </w:rPr>
        <w:t xml:space="preserve">  （投标人名称）    </w:t>
      </w:r>
      <w:r>
        <w:rPr>
          <w:rFonts w:hint="eastAsia" w:ascii="宋体" w:hAnsi="宋体" w:eastAsia="宋体" w:cs="宋体"/>
          <w:color w:val="auto"/>
          <w:sz w:val="24"/>
          <w:szCs w:val="24"/>
          <w:highlight w:val="none"/>
        </w:rPr>
        <w:t>作为投标者正式授权</w:t>
      </w:r>
      <w:r>
        <w:rPr>
          <w:rFonts w:hint="eastAsia" w:ascii="宋体" w:hAnsi="宋体" w:eastAsia="宋体" w:cs="宋体"/>
          <w:color w:val="auto"/>
          <w:sz w:val="24"/>
          <w:szCs w:val="24"/>
          <w:highlight w:val="none"/>
          <w:u w:val="single"/>
        </w:rPr>
        <w:t xml:space="preserve">  （授权代表全名、职务）  </w:t>
      </w:r>
      <w:r>
        <w:rPr>
          <w:rFonts w:hint="eastAsia" w:ascii="宋体" w:hAnsi="宋体" w:eastAsia="宋体" w:cs="宋体"/>
          <w:color w:val="auto"/>
          <w:sz w:val="24"/>
          <w:szCs w:val="24"/>
          <w:highlight w:val="none"/>
        </w:rPr>
        <w:t>代表我方进行有关本投标的一切事宜。</w:t>
      </w:r>
    </w:p>
    <w:p w14:paraId="0B49336C">
      <w:pPr>
        <w:pStyle w:val="9"/>
        <w:tabs>
          <w:tab w:val="left" w:pos="618"/>
        </w:tabs>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我方已完全明白招标文件的所有条款要求，并重申以下几点：</w:t>
      </w:r>
    </w:p>
    <w:p w14:paraId="12CAE8A3">
      <w:pPr>
        <w:pStyle w:val="9"/>
        <w:numPr>
          <w:ilvl w:val="0"/>
          <w:numId w:val="15"/>
        </w:num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我方决定参加：项目编号为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w:t>
      </w:r>
    </w:p>
    <w:p w14:paraId="2EFACFB1">
      <w:pPr>
        <w:pStyle w:val="9"/>
        <w:numPr>
          <w:ilvl w:val="0"/>
          <w:numId w:val="15"/>
        </w:num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全部有关服务的投标总价为（详见投标报价表）；</w:t>
      </w:r>
    </w:p>
    <w:p w14:paraId="37531B0E">
      <w:pPr>
        <w:pStyle w:val="9"/>
        <w:numPr>
          <w:ilvl w:val="0"/>
          <w:numId w:val="15"/>
        </w:num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本投标文件的有效期为投标截止日后</w:t>
      </w:r>
      <w:r>
        <w:rPr>
          <w:rFonts w:hint="eastAsia" w:ascii="宋体" w:hAnsi="宋体" w:eastAsia="宋体" w:cs="宋体"/>
          <w:color w:val="auto"/>
          <w:sz w:val="24"/>
          <w:szCs w:val="24"/>
          <w:highlight w:val="none"/>
          <w:u w:val="single"/>
        </w:rPr>
        <w:t>120</w:t>
      </w:r>
      <w:r>
        <w:rPr>
          <w:rFonts w:hint="eastAsia" w:ascii="宋体" w:hAnsi="宋体" w:eastAsia="宋体" w:cs="宋体"/>
          <w:color w:val="auto"/>
          <w:sz w:val="24"/>
          <w:szCs w:val="24"/>
          <w:highlight w:val="none"/>
        </w:rPr>
        <w:t>天有效，如中标，有效期将延至合同终止日为止；</w:t>
      </w:r>
    </w:p>
    <w:p w14:paraId="3C82A072">
      <w:pPr>
        <w:pStyle w:val="9"/>
        <w:numPr>
          <w:ilvl w:val="0"/>
          <w:numId w:val="15"/>
        </w:num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我方已详细研究了招标文件的所有内容包括修正文（如果有）和所有已提供的参考资料以及有关附件并完全明白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我方放弃在此方面提出含糊意见或误解的一切权力。</w:t>
      </w:r>
    </w:p>
    <w:p w14:paraId="455A2A1D">
      <w:pPr>
        <w:pStyle w:val="9"/>
        <w:numPr>
          <w:ilvl w:val="0"/>
          <w:numId w:val="15"/>
        </w:num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我方承诺投标文件中的一切资料、数据是真实的，并承担由此引起的一切责任。</w:t>
      </w:r>
    </w:p>
    <w:p w14:paraId="06E7068B">
      <w:pPr>
        <w:pStyle w:val="9"/>
        <w:numPr>
          <w:ilvl w:val="0"/>
          <w:numId w:val="15"/>
        </w:num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我方同意按照贵方可能提出的要求而提供与投标有关的任何其它数据或信息。</w:t>
      </w:r>
    </w:p>
    <w:p w14:paraId="3E5DAF6C">
      <w:pPr>
        <w:pStyle w:val="9"/>
        <w:numPr>
          <w:ilvl w:val="0"/>
          <w:numId w:val="15"/>
        </w:num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我方理解贵方不一定接受最低标价或任何贵方可能收到的投标。</w:t>
      </w:r>
    </w:p>
    <w:p w14:paraId="31EEEA4D">
      <w:pPr>
        <w:pStyle w:val="9"/>
        <w:numPr>
          <w:ilvl w:val="0"/>
          <w:numId w:val="15"/>
        </w:num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如果中标，将保证履行招标文件以及招标文件修改书（如果有的话）中的全部责任和义务，在中标通知书规定的时间内签订本项目合同，并严格按国家有关法规履行自己的全部责任，按质、按量、按期完成本项目合同中的全部任务。</w:t>
      </w:r>
    </w:p>
    <w:p w14:paraId="2F21DF54">
      <w:pPr>
        <w:pStyle w:val="9"/>
        <w:numPr>
          <w:ilvl w:val="0"/>
          <w:numId w:val="15"/>
        </w:num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如我方被授予合同，由我方就本次招标支付或将支付给招标机构的招标代理服务费列于招标文件要求的承诺书中。</w:t>
      </w:r>
    </w:p>
    <w:p w14:paraId="3BF4E120">
      <w:pPr>
        <w:pStyle w:val="9"/>
        <w:numPr>
          <w:ilvl w:val="0"/>
          <w:numId w:val="15"/>
        </w:num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所有与本招标有关的函件请发往下列地址</w:t>
      </w:r>
      <w:r>
        <w:rPr>
          <w:rFonts w:hint="eastAsia" w:ascii="宋体" w:hAnsi="宋体" w:eastAsia="宋体" w:cs="宋体"/>
          <w:color w:val="auto"/>
          <w:sz w:val="24"/>
          <w:szCs w:val="24"/>
          <w:highlight w:val="none"/>
          <w:lang w:eastAsia="zh-CN"/>
        </w:rPr>
        <w:t>：</w:t>
      </w:r>
    </w:p>
    <w:p w14:paraId="322D3FB6">
      <w:pPr>
        <w:pStyle w:val="9"/>
        <w:tabs>
          <w:tab w:val="left" w:pos="5580"/>
        </w:tabs>
        <w:spacing w:line="288"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地址____________________________     </w:t>
      </w:r>
    </w:p>
    <w:p w14:paraId="76CAF328">
      <w:pPr>
        <w:pStyle w:val="9"/>
        <w:tabs>
          <w:tab w:val="left" w:pos="5580"/>
        </w:tabs>
        <w:spacing w:line="288"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传真____________________________</w:t>
      </w:r>
    </w:p>
    <w:p w14:paraId="61456A2C">
      <w:pPr>
        <w:pStyle w:val="9"/>
        <w:tabs>
          <w:tab w:val="left" w:pos="5580"/>
        </w:tabs>
        <w:spacing w:line="288"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电话____________________________     </w:t>
      </w:r>
    </w:p>
    <w:p w14:paraId="7D5529F0">
      <w:pPr>
        <w:pStyle w:val="9"/>
        <w:tabs>
          <w:tab w:val="left" w:pos="5580"/>
        </w:tabs>
        <w:spacing w:line="288"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电子函件________________________</w:t>
      </w:r>
    </w:p>
    <w:p w14:paraId="1D45C656">
      <w:pPr>
        <w:pStyle w:val="9"/>
        <w:spacing w:line="400" w:lineRule="exact"/>
        <w:rPr>
          <w:rFonts w:hint="eastAsia" w:ascii="宋体" w:hAnsi="宋体" w:eastAsia="宋体" w:cs="宋体"/>
          <w:b/>
          <w:bCs/>
          <w:color w:val="auto"/>
          <w:sz w:val="24"/>
          <w:szCs w:val="24"/>
          <w:highlight w:val="none"/>
        </w:rPr>
      </w:pPr>
    </w:p>
    <w:p w14:paraId="0430B25E">
      <w:pPr>
        <w:pStyle w:val="9"/>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投标人（公章）：</w:t>
      </w:r>
    </w:p>
    <w:p w14:paraId="1F152571">
      <w:pPr>
        <w:pStyle w:val="9"/>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法定代表人或其授权代表签名： </w:t>
      </w:r>
    </w:p>
    <w:p w14:paraId="48092C36">
      <w:pPr>
        <w:pStyle w:val="21"/>
        <w:numPr>
          <w:ilvl w:val="0"/>
          <w:numId w:val="0"/>
        </w:numPr>
        <w:ind w:left="561" w:leftChars="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日期：     年      月    日</w:t>
      </w:r>
    </w:p>
    <w:p w14:paraId="6ACE539C">
      <w:pPr>
        <w:pStyle w:val="21"/>
        <w:numPr>
          <w:ilvl w:val="0"/>
          <w:numId w:val="0"/>
        </w:numPr>
        <w:ind w:left="561" w:leftChars="0"/>
        <w:jc w:val="both"/>
        <w:rPr>
          <w:rFonts w:hint="eastAsia" w:ascii="宋体" w:hAnsi="宋体" w:eastAsia="宋体" w:cs="宋体"/>
          <w:b/>
          <w:bCs/>
          <w:color w:val="auto"/>
          <w:sz w:val="21"/>
          <w:szCs w:val="21"/>
          <w:highlight w:val="none"/>
        </w:rPr>
      </w:pPr>
    </w:p>
    <w:p w14:paraId="595109A4">
      <w:pPr>
        <w:pStyle w:val="21"/>
        <w:numPr>
          <w:ilvl w:val="0"/>
          <w:numId w:val="0"/>
        </w:numPr>
        <w:ind w:left="561" w:leftChars="0"/>
        <w:jc w:val="both"/>
        <w:rPr>
          <w:rFonts w:hint="eastAsia" w:ascii="宋体" w:hAnsi="宋体" w:eastAsia="宋体" w:cs="宋体"/>
          <w:b/>
          <w:bCs/>
          <w:color w:val="auto"/>
          <w:sz w:val="21"/>
          <w:szCs w:val="21"/>
          <w:highlight w:val="none"/>
        </w:rPr>
      </w:pPr>
    </w:p>
    <w:p w14:paraId="6C366A2B">
      <w:pPr>
        <w:spacing w:line="360" w:lineRule="auto"/>
        <w:jc w:val="center"/>
        <w:outlineLvl w:val="3"/>
        <w:rPr>
          <w:rFonts w:hint="eastAsia" w:ascii="宋体" w:hAnsi="宋体" w:cs="宋体"/>
          <w:b/>
          <w:color w:val="auto"/>
          <w:sz w:val="32"/>
          <w:szCs w:val="32"/>
          <w:highlight w:val="none"/>
        </w:rPr>
      </w:pPr>
      <w:r>
        <w:rPr>
          <w:rFonts w:hint="eastAsia" w:ascii="宋体" w:hAnsi="宋体" w:cs="宋体"/>
          <w:b/>
          <w:color w:val="auto"/>
          <w:sz w:val="32"/>
          <w:szCs w:val="32"/>
          <w:highlight w:val="none"/>
        </w:rPr>
        <w:t>二、营业执照（或注册登记的证明文件）复印件加盖公章</w:t>
      </w:r>
    </w:p>
    <w:p w14:paraId="73137547">
      <w:pPr>
        <w:pStyle w:val="21"/>
        <w:numPr>
          <w:ilvl w:val="0"/>
          <w:numId w:val="0"/>
        </w:numPr>
        <w:jc w:val="both"/>
        <w:rPr>
          <w:rFonts w:hint="eastAsia" w:ascii="宋体" w:hAnsi="宋体" w:eastAsia="宋体" w:cs="宋体"/>
          <w:b/>
          <w:bCs/>
          <w:color w:val="auto"/>
          <w:sz w:val="32"/>
          <w:szCs w:val="32"/>
          <w:highlight w:val="none"/>
          <w:lang w:val="en-US" w:eastAsia="zh-CN"/>
        </w:rPr>
      </w:pPr>
    </w:p>
    <w:p w14:paraId="59772F17">
      <w:pPr>
        <w:spacing w:line="360" w:lineRule="auto"/>
        <w:jc w:val="center"/>
        <w:outlineLvl w:val="3"/>
        <w:rPr>
          <w:rFonts w:hint="eastAsia" w:ascii="宋体" w:hAnsi="宋体" w:cs="宋体"/>
          <w:b/>
          <w:color w:val="auto"/>
          <w:sz w:val="32"/>
          <w:szCs w:val="32"/>
          <w:highlight w:val="none"/>
        </w:rPr>
      </w:pPr>
      <w:r>
        <w:rPr>
          <w:rFonts w:hint="eastAsia" w:ascii="宋体" w:hAnsi="宋体" w:cs="宋体"/>
          <w:b/>
          <w:color w:val="auto"/>
          <w:sz w:val="32"/>
          <w:szCs w:val="32"/>
          <w:highlight w:val="none"/>
        </w:rPr>
        <w:t>三、税务登记证书复印件（须加盖公章，如已提供三证合一的营业执照（或注册登记的证明文件）的，则此项可不用提供）</w:t>
      </w:r>
    </w:p>
    <w:p w14:paraId="785CFCA4">
      <w:pPr>
        <w:pStyle w:val="21"/>
        <w:numPr>
          <w:ilvl w:val="0"/>
          <w:numId w:val="0"/>
        </w:numPr>
        <w:jc w:val="both"/>
        <w:rPr>
          <w:rFonts w:hint="eastAsia" w:ascii="宋体" w:hAnsi="宋体" w:eastAsia="宋体" w:cs="宋体"/>
          <w:b/>
          <w:bCs/>
          <w:color w:val="auto"/>
          <w:sz w:val="21"/>
          <w:szCs w:val="21"/>
          <w:highlight w:val="none"/>
          <w:lang w:val="en-US" w:eastAsia="zh-CN"/>
        </w:rPr>
      </w:pPr>
    </w:p>
    <w:p w14:paraId="571D584D">
      <w:pPr>
        <w:pStyle w:val="21"/>
        <w:numPr>
          <w:ilvl w:val="0"/>
          <w:numId w:val="0"/>
        </w:numPr>
        <w:jc w:val="both"/>
        <w:rPr>
          <w:rFonts w:hint="eastAsia" w:ascii="宋体" w:hAnsi="宋体" w:eastAsia="宋体" w:cs="宋体"/>
          <w:b/>
          <w:bCs/>
          <w:color w:val="auto"/>
          <w:sz w:val="21"/>
          <w:szCs w:val="21"/>
          <w:highlight w:val="none"/>
          <w:lang w:val="en-US" w:eastAsia="zh-CN"/>
        </w:rPr>
      </w:pPr>
    </w:p>
    <w:p w14:paraId="2FCF722D">
      <w:pPr>
        <w:pStyle w:val="21"/>
        <w:numPr>
          <w:ilvl w:val="0"/>
          <w:numId w:val="0"/>
        </w:numPr>
        <w:jc w:val="both"/>
        <w:rPr>
          <w:rFonts w:hint="eastAsia" w:ascii="宋体" w:hAnsi="宋体" w:eastAsia="宋体" w:cs="宋体"/>
          <w:b/>
          <w:bCs/>
          <w:color w:val="auto"/>
          <w:sz w:val="21"/>
          <w:szCs w:val="21"/>
          <w:highlight w:val="none"/>
          <w:lang w:val="en-US" w:eastAsia="zh-CN"/>
        </w:rPr>
      </w:pPr>
    </w:p>
    <w:p w14:paraId="3811E453">
      <w:pPr>
        <w:pStyle w:val="21"/>
        <w:numPr>
          <w:ilvl w:val="0"/>
          <w:numId w:val="0"/>
        </w:numPr>
        <w:jc w:val="both"/>
        <w:rPr>
          <w:rFonts w:hint="eastAsia" w:ascii="宋体" w:hAnsi="宋体" w:eastAsia="宋体" w:cs="宋体"/>
          <w:b/>
          <w:bCs/>
          <w:color w:val="auto"/>
          <w:sz w:val="21"/>
          <w:szCs w:val="21"/>
          <w:highlight w:val="none"/>
          <w:lang w:val="en-US" w:eastAsia="zh-CN"/>
        </w:rPr>
      </w:pPr>
    </w:p>
    <w:p w14:paraId="614B7489">
      <w:pPr>
        <w:pStyle w:val="21"/>
        <w:numPr>
          <w:ilvl w:val="0"/>
          <w:numId w:val="0"/>
        </w:numPr>
        <w:jc w:val="both"/>
        <w:rPr>
          <w:rFonts w:hint="eastAsia" w:ascii="宋体" w:hAnsi="宋体" w:eastAsia="宋体" w:cs="宋体"/>
          <w:b/>
          <w:bCs/>
          <w:color w:val="auto"/>
          <w:sz w:val="21"/>
          <w:szCs w:val="21"/>
          <w:highlight w:val="none"/>
          <w:lang w:val="en-US" w:eastAsia="zh-CN"/>
        </w:rPr>
      </w:pPr>
    </w:p>
    <w:p w14:paraId="7C1BDD41">
      <w:pPr>
        <w:pStyle w:val="21"/>
        <w:numPr>
          <w:ilvl w:val="0"/>
          <w:numId w:val="0"/>
        </w:numPr>
        <w:jc w:val="both"/>
        <w:rPr>
          <w:rFonts w:hint="eastAsia" w:ascii="宋体" w:hAnsi="宋体" w:eastAsia="宋体" w:cs="宋体"/>
          <w:b/>
          <w:bCs/>
          <w:color w:val="auto"/>
          <w:sz w:val="21"/>
          <w:szCs w:val="21"/>
          <w:highlight w:val="none"/>
          <w:lang w:val="en-US" w:eastAsia="zh-CN"/>
        </w:rPr>
      </w:pPr>
    </w:p>
    <w:p w14:paraId="66CEC7C3">
      <w:pPr>
        <w:pStyle w:val="21"/>
        <w:numPr>
          <w:ilvl w:val="0"/>
          <w:numId w:val="0"/>
        </w:numPr>
        <w:jc w:val="both"/>
        <w:rPr>
          <w:rFonts w:hint="eastAsia" w:ascii="宋体" w:hAnsi="宋体" w:eastAsia="宋体" w:cs="宋体"/>
          <w:b/>
          <w:bCs/>
          <w:color w:val="auto"/>
          <w:sz w:val="21"/>
          <w:szCs w:val="21"/>
          <w:highlight w:val="none"/>
          <w:lang w:val="en-US" w:eastAsia="zh-CN"/>
        </w:rPr>
      </w:pPr>
    </w:p>
    <w:p w14:paraId="21C36B63">
      <w:pPr>
        <w:pStyle w:val="21"/>
        <w:numPr>
          <w:ilvl w:val="0"/>
          <w:numId w:val="0"/>
        </w:numPr>
        <w:jc w:val="both"/>
        <w:rPr>
          <w:rFonts w:hint="eastAsia" w:ascii="宋体" w:hAnsi="宋体" w:eastAsia="宋体" w:cs="宋体"/>
          <w:b/>
          <w:bCs/>
          <w:color w:val="auto"/>
          <w:sz w:val="21"/>
          <w:szCs w:val="21"/>
          <w:highlight w:val="none"/>
          <w:lang w:val="en-US" w:eastAsia="zh-CN"/>
        </w:rPr>
      </w:pPr>
    </w:p>
    <w:p w14:paraId="07BC0F42">
      <w:pPr>
        <w:pStyle w:val="21"/>
        <w:numPr>
          <w:ilvl w:val="0"/>
          <w:numId w:val="0"/>
        </w:numPr>
        <w:jc w:val="both"/>
        <w:rPr>
          <w:rFonts w:hint="eastAsia" w:ascii="宋体" w:hAnsi="宋体" w:eastAsia="宋体" w:cs="宋体"/>
          <w:b/>
          <w:bCs/>
          <w:color w:val="auto"/>
          <w:sz w:val="21"/>
          <w:szCs w:val="21"/>
          <w:highlight w:val="none"/>
          <w:lang w:val="en-US" w:eastAsia="zh-CN"/>
        </w:rPr>
      </w:pPr>
    </w:p>
    <w:p w14:paraId="0A24C18E">
      <w:pPr>
        <w:pStyle w:val="21"/>
        <w:numPr>
          <w:ilvl w:val="0"/>
          <w:numId w:val="0"/>
        </w:numPr>
        <w:jc w:val="both"/>
        <w:rPr>
          <w:rFonts w:hint="eastAsia" w:ascii="宋体" w:hAnsi="宋体" w:eastAsia="宋体" w:cs="宋体"/>
          <w:b/>
          <w:bCs/>
          <w:color w:val="auto"/>
          <w:sz w:val="21"/>
          <w:szCs w:val="21"/>
          <w:highlight w:val="none"/>
          <w:lang w:val="en-US" w:eastAsia="zh-CN"/>
        </w:rPr>
      </w:pPr>
    </w:p>
    <w:p w14:paraId="2AB4AFBC">
      <w:pPr>
        <w:pStyle w:val="21"/>
        <w:numPr>
          <w:ilvl w:val="0"/>
          <w:numId w:val="0"/>
        </w:numPr>
        <w:jc w:val="both"/>
        <w:rPr>
          <w:rFonts w:hint="eastAsia" w:ascii="宋体" w:hAnsi="宋体" w:eastAsia="宋体" w:cs="宋体"/>
          <w:b/>
          <w:bCs/>
          <w:color w:val="auto"/>
          <w:sz w:val="21"/>
          <w:szCs w:val="21"/>
          <w:highlight w:val="none"/>
          <w:lang w:val="en-US" w:eastAsia="zh-CN"/>
        </w:rPr>
      </w:pPr>
    </w:p>
    <w:p w14:paraId="4FF35229">
      <w:pPr>
        <w:pStyle w:val="21"/>
        <w:numPr>
          <w:ilvl w:val="0"/>
          <w:numId w:val="0"/>
        </w:numPr>
        <w:jc w:val="both"/>
        <w:rPr>
          <w:rFonts w:hint="eastAsia" w:ascii="宋体" w:hAnsi="宋体" w:eastAsia="宋体" w:cs="宋体"/>
          <w:b/>
          <w:bCs/>
          <w:color w:val="auto"/>
          <w:sz w:val="21"/>
          <w:szCs w:val="21"/>
          <w:highlight w:val="none"/>
          <w:lang w:val="en-US" w:eastAsia="zh-CN"/>
        </w:rPr>
      </w:pPr>
    </w:p>
    <w:p w14:paraId="4990326D">
      <w:pPr>
        <w:pStyle w:val="21"/>
        <w:numPr>
          <w:ilvl w:val="0"/>
          <w:numId w:val="0"/>
        </w:numPr>
        <w:jc w:val="both"/>
        <w:rPr>
          <w:rFonts w:hint="eastAsia" w:ascii="宋体" w:hAnsi="宋体" w:eastAsia="宋体" w:cs="宋体"/>
          <w:b/>
          <w:bCs/>
          <w:color w:val="auto"/>
          <w:sz w:val="21"/>
          <w:szCs w:val="21"/>
          <w:highlight w:val="none"/>
          <w:lang w:val="en-US" w:eastAsia="zh-CN"/>
        </w:rPr>
      </w:pPr>
    </w:p>
    <w:p w14:paraId="3979BC54">
      <w:pPr>
        <w:pStyle w:val="21"/>
        <w:numPr>
          <w:ilvl w:val="0"/>
          <w:numId w:val="0"/>
        </w:numPr>
        <w:jc w:val="both"/>
        <w:rPr>
          <w:rFonts w:hint="eastAsia" w:ascii="宋体" w:hAnsi="宋体" w:eastAsia="宋体" w:cs="宋体"/>
          <w:b/>
          <w:bCs/>
          <w:color w:val="auto"/>
          <w:sz w:val="21"/>
          <w:szCs w:val="21"/>
          <w:highlight w:val="none"/>
          <w:lang w:val="en-US" w:eastAsia="zh-CN"/>
        </w:rPr>
      </w:pPr>
    </w:p>
    <w:p w14:paraId="2B83F346">
      <w:pPr>
        <w:pStyle w:val="21"/>
        <w:numPr>
          <w:ilvl w:val="0"/>
          <w:numId w:val="0"/>
        </w:numPr>
        <w:jc w:val="both"/>
        <w:rPr>
          <w:rFonts w:hint="eastAsia" w:ascii="宋体" w:hAnsi="宋体" w:eastAsia="宋体" w:cs="宋体"/>
          <w:b/>
          <w:bCs/>
          <w:color w:val="auto"/>
          <w:sz w:val="21"/>
          <w:szCs w:val="21"/>
          <w:highlight w:val="none"/>
          <w:lang w:val="en-US" w:eastAsia="zh-CN"/>
        </w:rPr>
      </w:pPr>
    </w:p>
    <w:p w14:paraId="3AC677C5">
      <w:pPr>
        <w:pStyle w:val="21"/>
        <w:numPr>
          <w:ilvl w:val="0"/>
          <w:numId w:val="0"/>
        </w:numPr>
        <w:jc w:val="both"/>
        <w:rPr>
          <w:rFonts w:hint="eastAsia" w:ascii="宋体" w:hAnsi="宋体" w:eastAsia="宋体" w:cs="宋体"/>
          <w:b/>
          <w:bCs/>
          <w:color w:val="auto"/>
          <w:sz w:val="21"/>
          <w:szCs w:val="21"/>
          <w:highlight w:val="none"/>
          <w:lang w:val="en-US" w:eastAsia="zh-CN"/>
        </w:rPr>
      </w:pPr>
    </w:p>
    <w:p w14:paraId="78BAD66D">
      <w:pPr>
        <w:pStyle w:val="21"/>
        <w:numPr>
          <w:ilvl w:val="0"/>
          <w:numId w:val="0"/>
        </w:numPr>
        <w:jc w:val="both"/>
        <w:rPr>
          <w:rFonts w:hint="eastAsia" w:ascii="宋体" w:hAnsi="宋体" w:eastAsia="宋体" w:cs="宋体"/>
          <w:b/>
          <w:bCs/>
          <w:color w:val="auto"/>
          <w:sz w:val="21"/>
          <w:szCs w:val="21"/>
          <w:highlight w:val="none"/>
          <w:lang w:val="en-US" w:eastAsia="zh-CN"/>
        </w:rPr>
      </w:pPr>
    </w:p>
    <w:p w14:paraId="4D955903">
      <w:pPr>
        <w:pStyle w:val="21"/>
        <w:numPr>
          <w:ilvl w:val="0"/>
          <w:numId w:val="0"/>
        </w:numPr>
        <w:jc w:val="both"/>
        <w:rPr>
          <w:rFonts w:hint="eastAsia" w:ascii="宋体" w:hAnsi="宋体" w:eastAsia="宋体" w:cs="宋体"/>
          <w:b/>
          <w:bCs/>
          <w:color w:val="auto"/>
          <w:sz w:val="21"/>
          <w:szCs w:val="21"/>
          <w:highlight w:val="none"/>
          <w:lang w:val="en-US" w:eastAsia="zh-CN"/>
        </w:rPr>
      </w:pPr>
    </w:p>
    <w:p w14:paraId="6399C584">
      <w:pPr>
        <w:pStyle w:val="21"/>
        <w:numPr>
          <w:ilvl w:val="0"/>
          <w:numId w:val="0"/>
        </w:numPr>
        <w:jc w:val="both"/>
        <w:rPr>
          <w:rFonts w:hint="eastAsia" w:ascii="宋体" w:hAnsi="宋体" w:eastAsia="宋体" w:cs="宋体"/>
          <w:b/>
          <w:bCs/>
          <w:color w:val="auto"/>
          <w:sz w:val="21"/>
          <w:szCs w:val="21"/>
          <w:highlight w:val="none"/>
          <w:lang w:val="en-US" w:eastAsia="zh-CN"/>
        </w:rPr>
      </w:pPr>
    </w:p>
    <w:p w14:paraId="17085523">
      <w:pPr>
        <w:spacing w:line="360" w:lineRule="auto"/>
        <w:jc w:val="center"/>
        <w:outlineLvl w:val="3"/>
        <w:rPr>
          <w:rFonts w:hint="eastAsia" w:ascii="宋体" w:hAnsi="宋体" w:cs="宋体"/>
          <w:b/>
          <w:color w:val="auto"/>
          <w:sz w:val="30"/>
          <w:szCs w:val="30"/>
          <w:highlight w:val="none"/>
        </w:rPr>
      </w:pPr>
      <w:r>
        <w:rPr>
          <w:rFonts w:hint="eastAsia" w:ascii="宋体" w:hAnsi="宋体" w:cs="宋体"/>
          <w:b/>
          <w:color w:val="auto"/>
          <w:sz w:val="32"/>
          <w:szCs w:val="32"/>
          <w:highlight w:val="none"/>
        </w:rPr>
        <w:t>四、法定代表人证明书及法定代表人授权书</w:t>
      </w:r>
    </w:p>
    <w:p w14:paraId="607C5D18">
      <w:pPr>
        <w:pStyle w:val="2"/>
        <w:tabs>
          <w:tab w:val="left" w:pos="562"/>
          <w:tab w:val="left" w:pos="3372"/>
          <w:tab w:val="left" w:pos="3653"/>
        </w:tabs>
        <w:jc w:val="center"/>
        <w:outlineLvl w:val="4"/>
        <w:rPr>
          <w:rFonts w:hint="eastAsia" w:ascii="宋体" w:hAnsi="宋体" w:cs="宋体"/>
          <w:b/>
          <w:color w:val="auto"/>
          <w:sz w:val="28"/>
          <w:szCs w:val="28"/>
          <w:highlight w:val="none"/>
        </w:rPr>
      </w:pPr>
      <w:r>
        <w:rPr>
          <w:rFonts w:hint="eastAsia" w:ascii="宋体" w:hAnsi="宋体" w:cs="宋体"/>
          <w:b/>
          <w:color w:val="auto"/>
          <w:sz w:val="28"/>
          <w:szCs w:val="28"/>
          <w:highlight w:val="none"/>
        </w:rPr>
        <w:t>（一）法定代表人证明书</w:t>
      </w:r>
    </w:p>
    <w:p w14:paraId="756A3D12">
      <w:pPr>
        <w:pStyle w:val="3"/>
        <w:rPr>
          <w:rFonts w:hint="eastAsia"/>
        </w:rPr>
      </w:pPr>
    </w:p>
    <w:p w14:paraId="3F6D70CF">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同志，现任我单位</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职务，为法定代表人，特此证明。</w:t>
      </w:r>
    </w:p>
    <w:p w14:paraId="6DF9FAD7">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签发日期：         有效日期：       单位：              </w:t>
      </w:r>
    </w:p>
    <w:p w14:paraId="231674FB">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p w14:paraId="28F4E71F">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附：代表人性别：            年龄：            身份证号码：</w:t>
      </w:r>
    </w:p>
    <w:p w14:paraId="5BD71F82">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营业执照号码：                      经济性质：</w:t>
      </w:r>
    </w:p>
    <w:p w14:paraId="23F4D28E">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主营（产）：</w:t>
      </w:r>
    </w:p>
    <w:p w14:paraId="15D75371">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兼营（产）：</w:t>
      </w:r>
    </w:p>
    <w:p w14:paraId="70DE3454">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进口物品经营许可证号码：</w:t>
      </w:r>
    </w:p>
    <w:p w14:paraId="77C06123">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主营：</w:t>
      </w:r>
    </w:p>
    <w:p w14:paraId="3426183F">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兼营：</w:t>
      </w:r>
    </w:p>
    <w:p w14:paraId="4E09F105">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说明：1、法定代表人为企业事业单位、国家机关、社会团体的主要行政负责人。</w:t>
      </w:r>
    </w:p>
    <w:p w14:paraId="58B4E5F7">
      <w:pPr>
        <w:numPr>
          <w:ilvl w:val="0"/>
          <w:numId w:val="16"/>
        </w:num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内容必须填写真实、清楚，涂改无效，不得转让、买卖。</w:t>
      </w:r>
    </w:p>
    <w:p w14:paraId="364B6C83">
      <w:pPr>
        <w:pStyle w:val="2"/>
        <w:numPr>
          <w:ilvl w:val="0"/>
          <w:numId w:val="16"/>
        </w:numPr>
        <w:tabs>
          <w:tab w:val="left" w:pos="562"/>
          <w:tab w:val="left" w:pos="3372"/>
          <w:tab w:val="left" w:pos="3653"/>
        </w:tabs>
        <w:rPr>
          <w:rFonts w:hint="eastAsia" w:ascii="宋体" w:hAnsi="宋体" w:cs="宋体"/>
          <w:color w:val="auto"/>
          <w:sz w:val="21"/>
          <w:szCs w:val="21"/>
          <w:highlight w:val="none"/>
        </w:rPr>
      </w:pPr>
      <w:r>
        <w:rPr>
          <w:rFonts w:hint="eastAsia" w:ascii="宋体" w:hAnsi="宋体" w:cs="宋体"/>
          <w:color w:val="auto"/>
          <w:sz w:val="21"/>
          <w:szCs w:val="21"/>
          <w:highlight w:val="none"/>
        </w:rPr>
        <w:t>须附上法定代表人身份证双面复印件，未按要求提供的作投标无效处理。</w:t>
      </w:r>
    </w:p>
    <w:p w14:paraId="5B786BE1">
      <w:pPr>
        <w:spacing w:line="360" w:lineRule="auto"/>
        <w:rPr>
          <w:rFonts w:hint="eastAsia" w:ascii="宋体" w:hAnsi="宋体" w:cs="宋体"/>
          <w:color w:val="auto"/>
          <w:sz w:val="21"/>
          <w:szCs w:val="21"/>
          <w:highlight w:val="none"/>
        </w:rPr>
      </w:pPr>
    </w:p>
    <w:p w14:paraId="4A9CF254">
      <w:pPr>
        <w:pStyle w:val="9"/>
        <w:spacing w:line="360" w:lineRule="auto"/>
        <w:rPr>
          <w:rFonts w:hint="eastAsia" w:hAnsi="宋体" w:cs="宋体"/>
          <w:b/>
          <w:bCs/>
          <w:color w:val="auto"/>
          <w:sz w:val="21"/>
          <w:szCs w:val="21"/>
          <w:highlight w:val="none"/>
        </w:rPr>
      </w:pPr>
      <w:r>
        <w:rPr>
          <w:rFonts w:hint="eastAsia" w:hAnsi="宋体" w:cs="宋体"/>
          <w:b/>
          <w:bCs/>
          <w:color w:val="auto"/>
          <w:sz w:val="21"/>
          <w:szCs w:val="21"/>
          <w:highlight w:val="none"/>
        </w:rPr>
        <w:t>附：法定代表人身份证</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14:paraId="7B18A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14:paraId="6E1A6CF2">
            <w:pPr>
              <w:pStyle w:val="9"/>
              <w:spacing w:line="360" w:lineRule="auto"/>
              <w:rPr>
                <w:rFonts w:hint="eastAsia" w:hAnsi="宋体" w:cs="宋体"/>
                <w:b/>
                <w:bCs/>
                <w:color w:val="auto"/>
                <w:sz w:val="21"/>
                <w:szCs w:val="21"/>
                <w:highlight w:val="none"/>
              </w:rPr>
            </w:pPr>
          </w:p>
        </w:tc>
        <w:tc>
          <w:tcPr>
            <w:tcW w:w="4677" w:type="dxa"/>
            <w:noWrap w:val="0"/>
            <w:vAlign w:val="top"/>
          </w:tcPr>
          <w:p w14:paraId="408C46AA">
            <w:pPr>
              <w:pStyle w:val="9"/>
              <w:spacing w:line="360" w:lineRule="auto"/>
              <w:rPr>
                <w:rFonts w:hint="eastAsia" w:hAnsi="宋体" w:cs="宋体"/>
                <w:b/>
                <w:bCs/>
                <w:color w:val="auto"/>
                <w:sz w:val="21"/>
                <w:szCs w:val="21"/>
                <w:highlight w:val="none"/>
              </w:rPr>
            </w:pPr>
          </w:p>
        </w:tc>
      </w:tr>
    </w:tbl>
    <w:p w14:paraId="178BF965">
      <w:pPr>
        <w:pStyle w:val="9"/>
        <w:spacing w:line="360" w:lineRule="auto"/>
        <w:rPr>
          <w:rFonts w:hint="eastAsia" w:hAnsi="宋体" w:cs="宋体"/>
          <w:b/>
          <w:bCs/>
          <w:color w:val="auto"/>
          <w:sz w:val="21"/>
          <w:szCs w:val="21"/>
          <w:highlight w:val="none"/>
        </w:rPr>
      </w:pPr>
    </w:p>
    <w:p w14:paraId="35020052">
      <w:pPr>
        <w:pStyle w:val="9"/>
        <w:spacing w:line="360" w:lineRule="auto"/>
        <w:rPr>
          <w:rFonts w:hint="eastAsia" w:hAnsi="宋体" w:cs="宋体"/>
          <w:b/>
          <w:bCs/>
          <w:color w:val="auto"/>
          <w:sz w:val="21"/>
          <w:szCs w:val="21"/>
          <w:highlight w:val="none"/>
        </w:rPr>
      </w:pPr>
      <w:r>
        <w:rPr>
          <w:rFonts w:hint="eastAsia" w:hAnsi="宋体" w:cs="宋体"/>
          <w:b/>
          <w:bCs/>
          <w:color w:val="auto"/>
          <w:sz w:val="21"/>
          <w:szCs w:val="21"/>
          <w:highlight w:val="none"/>
        </w:rPr>
        <w:t>投标人（公章）：</w:t>
      </w:r>
    </w:p>
    <w:p w14:paraId="30332C9C">
      <w:pPr>
        <w:pStyle w:val="9"/>
        <w:spacing w:line="360" w:lineRule="auto"/>
        <w:rPr>
          <w:rFonts w:hint="eastAsia" w:hAnsi="宋体" w:cs="宋体"/>
          <w:b/>
          <w:bCs/>
          <w:color w:val="auto"/>
          <w:sz w:val="21"/>
          <w:szCs w:val="21"/>
          <w:highlight w:val="none"/>
        </w:rPr>
      </w:pPr>
      <w:r>
        <w:rPr>
          <w:rFonts w:hint="eastAsia" w:hAnsi="宋体" w:cs="宋体"/>
          <w:b/>
          <w:bCs/>
          <w:color w:val="auto"/>
          <w:sz w:val="21"/>
          <w:szCs w:val="21"/>
          <w:highlight w:val="none"/>
        </w:rPr>
        <w:t xml:space="preserve">法定代表人（签字或盖章）： </w:t>
      </w:r>
    </w:p>
    <w:p w14:paraId="281A1B69">
      <w:pPr>
        <w:pStyle w:val="9"/>
        <w:spacing w:line="360" w:lineRule="auto"/>
        <w:rPr>
          <w:rFonts w:hint="eastAsia" w:hAnsi="宋体" w:cs="宋体"/>
          <w:b/>
          <w:bCs/>
          <w:color w:val="auto"/>
          <w:sz w:val="21"/>
          <w:szCs w:val="21"/>
          <w:highlight w:val="none"/>
        </w:rPr>
      </w:pPr>
      <w:r>
        <w:rPr>
          <w:rFonts w:hint="eastAsia" w:hAnsi="宋体" w:cs="宋体"/>
          <w:b/>
          <w:bCs/>
          <w:color w:val="auto"/>
          <w:sz w:val="21"/>
          <w:szCs w:val="21"/>
          <w:highlight w:val="none"/>
        </w:rPr>
        <w:t>日期：     年      月    日</w:t>
      </w:r>
    </w:p>
    <w:p w14:paraId="2EFAFC96">
      <w:pPr>
        <w:pStyle w:val="9"/>
        <w:spacing w:line="360" w:lineRule="auto"/>
        <w:rPr>
          <w:rFonts w:hint="eastAsia" w:hAnsi="宋体" w:cs="宋体"/>
          <w:b/>
          <w:bCs/>
          <w:color w:val="auto"/>
          <w:sz w:val="24"/>
          <w:highlight w:val="none"/>
        </w:rPr>
      </w:pPr>
    </w:p>
    <w:p w14:paraId="067CC8F7">
      <w:pPr>
        <w:pStyle w:val="2"/>
        <w:tabs>
          <w:tab w:val="left" w:pos="562"/>
          <w:tab w:val="left" w:pos="3372"/>
          <w:tab w:val="left" w:pos="3653"/>
        </w:tabs>
        <w:jc w:val="center"/>
        <w:outlineLvl w:val="4"/>
        <w:rPr>
          <w:rFonts w:hint="eastAsia" w:ascii="宋体" w:hAnsi="宋体" w:cs="宋体"/>
          <w:b/>
          <w:color w:val="auto"/>
          <w:sz w:val="28"/>
          <w:szCs w:val="28"/>
          <w:highlight w:val="none"/>
        </w:rPr>
      </w:pPr>
      <w:r>
        <w:rPr>
          <w:rFonts w:hint="eastAsia" w:ascii="宋体" w:hAnsi="宋体" w:cs="宋体"/>
          <w:b/>
          <w:color w:val="auto"/>
          <w:sz w:val="28"/>
          <w:szCs w:val="28"/>
          <w:highlight w:val="none"/>
        </w:rPr>
        <w:t>（二）法定代表人授权书</w:t>
      </w:r>
    </w:p>
    <w:p w14:paraId="2817E242">
      <w:pPr>
        <w:pStyle w:val="9"/>
        <w:tabs>
          <w:tab w:val="left" w:pos="5580"/>
        </w:tabs>
        <w:spacing w:line="360" w:lineRule="auto"/>
        <w:rPr>
          <w:rFonts w:hint="eastAsia" w:hAnsi="宋体" w:cs="宋体"/>
          <w:color w:val="auto"/>
          <w:sz w:val="21"/>
          <w:szCs w:val="21"/>
          <w:highlight w:val="none"/>
        </w:rPr>
      </w:pPr>
      <w:r>
        <w:rPr>
          <w:rFonts w:hint="eastAsia" w:hAnsi="宋体" w:cs="宋体"/>
          <w:color w:val="auto"/>
          <w:sz w:val="24"/>
          <w:highlight w:val="none"/>
          <w:u w:val="single"/>
        </w:rPr>
        <w:cr/>
      </w:r>
      <w:r>
        <w:rPr>
          <w:rFonts w:hint="eastAsia" w:hAnsi="宋体" w:cs="宋体"/>
          <w:color w:val="auto"/>
          <w:sz w:val="24"/>
          <w:highlight w:val="none"/>
        </w:rPr>
        <w:t xml:space="preserve">   </w:t>
      </w:r>
      <w:r>
        <w:rPr>
          <w:rFonts w:hint="eastAsia" w:hAnsi="宋体" w:cs="宋体"/>
          <w:color w:val="auto"/>
          <w:sz w:val="21"/>
          <w:szCs w:val="21"/>
          <w:highlight w:val="none"/>
        </w:rPr>
        <w:t xml:space="preserve"> 本授权书声明：注册于</w:t>
      </w:r>
      <w:r>
        <w:rPr>
          <w:rFonts w:hint="eastAsia" w:hAnsi="宋体" w:cs="宋体"/>
          <w:color w:val="auto"/>
          <w:sz w:val="21"/>
          <w:szCs w:val="21"/>
          <w:highlight w:val="none"/>
          <w:u w:val="single"/>
        </w:rPr>
        <w:t>（国家或地区的名称）</w:t>
      </w:r>
      <w:r>
        <w:rPr>
          <w:rFonts w:hint="eastAsia" w:hAnsi="宋体" w:cs="宋体"/>
          <w:color w:val="auto"/>
          <w:sz w:val="21"/>
          <w:szCs w:val="21"/>
          <w:highlight w:val="none"/>
        </w:rPr>
        <w:t>的</w:t>
      </w:r>
      <w:r>
        <w:rPr>
          <w:rFonts w:hint="eastAsia" w:hAnsi="宋体" w:cs="宋体"/>
          <w:color w:val="auto"/>
          <w:sz w:val="21"/>
          <w:szCs w:val="21"/>
          <w:highlight w:val="none"/>
          <w:u w:val="single"/>
        </w:rPr>
        <w:t xml:space="preserve"> （公司名称）  </w:t>
      </w:r>
      <w:r>
        <w:rPr>
          <w:rFonts w:hint="eastAsia" w:hAnsi="宋体" w:cs="宋体"/>
          <w:color w:val="auto"/>
          <w:sz w:val="21"/>
          <w:szCs w:val="21"/>
          <w:highlight w:val="none"/>
        </w:rPr>
        <w:t>的</w:t>
      </w:r>
      <w:r>
        <w:rPr>
          <w:rFonts w:hint="eastAsia" w:hAnsi="宋体" w:cs="宋体"/>
          <w:color w:val="auto"/>
          <w:sz w:val="21"/>
          <w:szCs w:val="21"/>
          <w:highlight w:val="none"/>
          <w:u w:val="single"/>
        </w:rPr>
        <w:t xml:space="preserve">（法人代表姓名、职务） </w:t>
      </w:r>
      <w:r>
        <w:rPr>
          <w:rFonts w:hint="eastAsia" w:hAnsi="宋体" w:cs="宋体"/>
          <w:color w:val="auto"/>
          <w:sz w:val="21"/>
          <w:szCs w:val="21"/>
          <w:highlight w:val="none"/>
        </w:rPr>
        <w:t>代表本公司授权</w:t>
      </w:r>
      <w:r>
        <w:rPr>
          <w:rFonts w:hint="eastAsia" w:hAnsi="宋体" w:cs="宋体"/>
          <w:color w:val="auto"/>
          <w:sz w:val="21"/>
          <w:szCs w:val="21"/>
          <w:highlight w:val="none"/>
          <w:u w:val="single"/>
        </w:rPr>
        <w:t xml:space="preserve"> （公司名称）  </w:t>
      </w:r>
      <w:r>
        <w:rPr>
          <w:rFonts w:hint="eastAsia" w:hAnsi="宋体" w:cs="宋体"/>
          <w:color w:val="auto"/>
          <w:sz w:val="21"/>
          <w:szCs w:val="21"/>
          <w:highlight w:val="none"/>
        </w:rPr>
        <w:t>的</w:t>
      </w:r>
      <w:r>
        <w:rPr>
          <w:rFonts w:hint="eastAsia" w:hAnsi="宋体" w:cs="宋体"/>
          <w:color w:val="auto"/>
          <w:sz w:val="21"/>
          <w:szCs w:val="21"/>
          <w:highlight w:val="none"/>
          <w:u w:val="single"/>
        </w:rPr>
        <w:t xml:space="preserve"> （被授权人的姓名、职务） </w:t>
      </w:r>
      <w:r>
        <w:rPr>
          <w:rFonts w:hint="eastAsia" w:hAnsi="宋体" w:cs="宋体"/>
          <w:color w:val="auto"/>
          <w:sz w:val="21"/>
          <w:szCs w:val="21"/>
          <w:highlight w:val="none"/>
        </w:rPr>
        <w:t>为本公司的合法代理人，就</w:t>
      </w:r>
      <w:r>
        <w:rPr>
          <w:rFonts w:hint="eastAsia" w:hAnsi="宋体" w:cs="宋体"/>
          <w:color w:val="auto"/>
          <w:sz w:val="21"/>
          <w:szCs w:val="21"/>
          <w:highlight w:val="none"/>
          <w:u w:val="single"/>
        </w:rPr>
        <w:t xml:space="preserve">  （项目名称、项目编号）  </w:t>
      </w:r>
      <w:r>
        <w:rPr>
          <w:rFonts w:hint="eastAsia" w:hAnsi="宋体" w:cs="宋体"/>
          <w:color w:val="auto"/>
          <w:sz w:val="21"/>
          <w:szCs w:val="21"/>
          <w:highlight w:val="none"/>
        </w:rPr>
        <w:t>的投标，以本公司名义处理与之有关的事务。</w:t>
      </w:r>
      <w:r>
        <w:rPr>
          <w:rFonts w:hint="eastAsia" w:hAnsi="宋体" w:cs="宋体"/>
          <w:color w:val="auto"/>
          <w:sz w:val="21"/>
          <w:szCs w:val="21"/>
          <w:highlight w:val="none"/>
        </w:rPr>
        <w:cr/>
      </w:r>
      <w:r>
        <w:rPr>
          <w:rFonts w:hint="eastAsia" w:hAnsi="宋体" w:cs="宋体"/>
          <w:color w:val="auto"/>
          <w:sz w:val="21"/>
          <w:szCs w:val="21"/>
          <w:highlight w:val="none"/>
        </w:rPr>
        <w:t>　　</w:t>
      </w:r>
    </w:p>
    <w:p w14:paraId="05427B8E">
      <w:pPr>
        <w:pStyle w:val="9"/>
        <w:tabs>
          <w:tab w:val="left" w:pos="5580"/>
        </w:tabs>
        <w:spacing w:line="360" w:lineRule="auto"/>
        <w:ind w:firstLine="480"/>
        <w:rPr>
          <w:rFonts w:hint="eastAsia" w:hAnsi="宋体" w:cs="宋体"/>
          <w:color w:val="auto"/>
          <w:sz w:val="21"/>
          <w:szCs w:val="21"/>
          <w:highlight w:val="none"/>
        </w:rPr>
      </w:pPr>
      <w:r>
        <w:rPr>
          <w:rFonts w:hint="eastAsia" w:hAnsi="宋体" w:cs="宋体"/>
          <w:color w:val="auto"/>
          <w:sz w:val="21"/>
          <w:szCs w:val="21"/>
          <w:highlight w:val="none"/>
        </w:rPr>
        <w:t>本授权书于__________年_____月______日签字生效，特此声明。</w:t>
      </w:r>
      <w:r>
        <w:rPr>
          <w:rFonts w:hint="eastAsia" w:hAnsi="宋体" w:cs="宋体"/>
          <w:color w:val="auto"/>
          <w:sz w:val="21"/>
          <w:szCs w:val="21"/>
          <w:highlight w:val="none"/>
        </w:rPr>
        <w:cr/>
      </w:r>
      <w:r>
        <w:rPr>
          <w:rFonts w:hint="eastAsia" w:hAnsi="宋体" w:cs="宋体"/>
          <w:color w:val="auto"/>
          <w:sz w:val="21"/>
          <w:szCs w:val="21"/>
          <w:highlight w:val="none"/>
        </w:rPr>
        <w:cr/>
      </w:r>
      <w:r>
        <w:rPr>
          <w:rFonts w:hint="eastAsia" w:hAnsi="宋体" w:cs="宋体"/>
          <w:color w:val="auto"/>
          <w:sz w:val="21"/>
          <w:szCs w:val="21"/>
          <w:highlight w:val="none"/>
        </w:rPr>
        <w:cr/>
      </w:r>
      <w:r>
        <w:rPr>
          <w:rFonts w:hint="eastAsia" w:hAnsi="宋体" w:cs="宋体"/>
          <w:color w:val="auto"/>
          <w:sz w:val="21"/>
          <w:szCs w:val="21"/>
          <w:highlight w:val="none"/>
        </w:rPr>
        <w:t>法定代表人（签字或盖章）：________________________</w:t>
      </w:r>
    </w:p>
    <w:p w14:paraId="43C60D56">
      <w:pPr>
        <w:pStyle w:val="9"/>
        <w:tabs>
          <w:tab w:val="left" w:pos="5580"/>
        </w:tabs>
        <w:spacing w:line="360" w:lineRule="auto"/>
        <w:rPr>
          <w:rFonts w:hint="eastAsia" w:hAnsi="宋体" w:cs="宋体"/>
          <w:color w:val="auto"/>
          <w:sz w:val="21"/>
          <w:szCs w:val="21"/>
          <w:highlight w:val="none"/>
        </w:rPr>
      </w:pPr>
      <w:r>
        <w:rPr>
          <w:rFonts w:hint="eastAsia" w:hAnsi="宋体" w:cs="宋体"/>
          <w:color w:val="auto"/>
          <w:sz w:val="21"/>
          <w:szCs w:val="21"/>
          <w:highlight w:val="none"/>
        </w:rPr>
        <w:cr/>
      </w:r>
      <w:r>
        <w:rPr>
          <w:rFonts w:hint="eastAsia" w:hAnsi="宋体" w:cs="宋体"/>
          <w:color w:val="auto"/>
          <w:sz w:val="21"/>
          <w:szCs w:val="21"/>
          <w:highlight w:val="none"/>
        </w:rPr>
        <w:t>被授权人（签字）：_______________________________</w:t>
      </w:r>
    </w:p>
    <w:p w14:paraId="49E9BF4B">
      <w:pPr>
        <w:pStyle w:val="9"/>
        <w:tabs>
          <w:tab w:val="left" w:pos="5580"/>
        </w:tabs>
        <w:spacing w:line="360" w:lineRule="auto"/>
        <w:rPr>
          <w:rFonts w:hint="eastAsia" w:hAnsi="宋体" w:cs="宋体"/>
          <w:color w:val="auto"/>
          <w:sz w:val="21"/>
          <w:szCs w:val="21"/>
          <w:highlight w:val="none"/>
        </w:rPr>
      </w:pPr>
      <w:r>
        <w:rPr>
          <w:rFonts w:hint="eastAsia" w:hAnsi="宋体" w:cs="宋体"/>
          <w:color w:val="auto"/>
          <w:sz w:val="21"/>
          <w:szCs w:val="21"/>
          <w:highlight w:val="none"/>
        </w:rPr>
        <w:cr/>
      </w:r>
      <w:r>
        <w:rPr>
          <w:rFonts w:hint="eastAsia" w:hAnsi="宋体" w:cs="宋体"/>
          <w:color w:val="auto"/>
          <w:sz w:val="21"/>
          <w:szCs w:val="21"/>
          <w:highlight w:val="none"/>
        </w:rPr>
        <w:t xml:space="preserve">投标人（法人公章）：                                 </w:t>
      </w:r>
    </w:p>
    <w:p w14:paraId="5AA5DE9E">
      <w:pPr>
        <w:pStyle w:val="9"/>
        <w:tabs>
          <w:tab w:val="left" w:pos="5580"/>
        </w:tabs>
        <w:spacing w:line="288" w:lineRule="auto"/>
        <w:rPr>
          <w:rFonts w:hint="eastAsia" w:hAnsi="宋体" w:cs="宋体"/>
          <w:color w:val="auto"/>
          <w:sz w:val="21"/>
          <w:szCs w:val="21"/>
          <w:highlight w:val="none"/>
        </w:rPr>
      </w:pPr>
    </w:p>
    <w:p w14:paraId="2C1AD66B">
      <w:pPr>
        <w:pStyle w:val="9"/>
        <w:tabs>
          <w:tab w:val="left" w:pos="5580"/>
        </w:tabs>
        <w:spacing w:line="288" w:lineRule="auto"/>
        <w:rPr>
          <w:rFonts w:hint="eastAsia" w:hAnsi="宋体" w:cs="宋体"/>
          <w:color w:val="auto"/>
          <w:sz w:val="21"/>
          <w:szCs w:val="21"/>
          <w:highlight w:val="none"/>
        </w:rPr>
      </w:pPr>
    </w:p>
    <w:p w14:paraId="73CC1801">
      <w:pPr>
        <w:rPr>
          <w:rFonts w:hint="eastAsia" w:ascii="宋体" w:hAnsi="宋体" w:cs="宋体"/>
          <w:b/>
          <w:bCs/>
          <w:color w:val="auto"/>
          <w:sz w:val="21"/>
          <w:szCs w:val="21"/>
          <w:highlight w:val="non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14:paraId="1B0D3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9287" w:type="dxa"/>
            <w:noWrap w:val="0"/>
            <w:vAlign w:val="top"/>
          </w:tcPr>
          <w:p w14:paraId="37B038B1">
            <w:pPr>
              <w:rPr>
                <w:rFonts w:hint="eastAsia" w:ascii="宋体" w:hAnsi="宋体" w:cs="宋体"/>
                <w:b/>
                <w:color w:val="auto"/>
                <w:sz w:val="21"/>
                <w:szCs w:val="21"/>
                <w:highlight w:val="none"/>
              </w:rPr>
            </w:pPr>
            <w:r>
              <w:rPr>
                <w:rFonts w:hint="eastAsia" w:ascii="宋体" w:hAnsi="宋体" w:cs="宋体"/>
                <w:b/>
                <w:color w:val="auto"/>
                <w:sz w:val="21"/>
                <w:szCs w:val="21"/>
                <w:highlight w:val="none"/>
              </w:rPr>
              <w:t>1、附身份证复印件（正反面）</w:t>
            </w:r>
          </w:p>
        </w:tc>
      </w:tr>
    </w:tbl>
    <w:p w14:paraId="0C87C5DE">
      <w:pPr>
        <w:rPr>
          <w:rFonts w:hint="eastAsia" w:ascii="宋体" w:hAnsi="宋体" w:cs="宋体"/>
          <w:b/>
          <w:color w:val="auto"/>
          <w:sz w:val="24"/>
          <w:szCs w:val="32"/>
          <w:highlight w:val="non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14:paraId="5A46F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9287" w:type="dxa"/>
            <w:noWrap w:val="0"/>
            <w:vAlign w:val="top"/>
          </w:tcPr>
          <w:p w14:paraId="6D672588">
            <w:pPr>
              <w:rPr>
                <w:rFonts w:hint="eastAsia" w:ascii="宋体" w:hAnsi="宋体" w:cs="宋体"/>
                <w:b/>
                <w:color w:val="auto"/>
                <w:sz w:val="21"/>
                <w:szCs w:val="21"/>
                <w:highlight w:val="none"/>
              </w:rPr>
            </w:pPr>
            <w:r>
              <w:rPr>
                <w:rFonts w:hint="eastAsia" w:ascii="宋体" w:hAnsi="宋体" w:cs="宋体"/>
                <w:b/>
                <w:color w:val="auto"/>
                <w:sz w:val="21"/>
                <w:szCs w:val="21"/>
                <w:highlight w:val="none"/>
              </w:rPr>
              <w:t>2、附被授权人的社保缴纳证明文件（须提供投标单位为被授权人购买的开标日前一个月载有社保部门公章的社保缴交证明材料（如开标日上一个月的社保材料因社保部门原因暂时无法取得，则可以往前顺延一个月）：</w:t>
            </w:r>
          </w:p>
          <w:p w14:paraId="69BA745A">
            <w:pPr>
              <w:rPr>
                <w:rFonts w:hint="eastAsia" w:ascii="宋体" w:hAnsi="宋体" w:cs="宋体"/>
                <w:b/>
                <w:color w:val="auto"/>
                <w:sz w:val="21"/>
                <w:szCs w:val="21"/>
                <w:highlight w:val="none"/>
              </w:rPr>
            </w:pPr>
          </w:p>
          <w:p w14:paraId="7027C80A">
            <w:pPr>
              <w:pStyle w:val="2"/>
              <w:tabs>
                <w:tab w:val="left" w:pos="562"/>
                <w:tab w:val="left" w:pos="3372"/>
                <w:tab w:val="left" w:pos="3653"/>
              </w:tabs>
              <w:rPr>
                <w:rFonts w:hint="eastAsia" w:ascii="宋体" w:hAnsi="宋体" w:cs="宋体"/>
                <w:b/>
                <w:color w:val="auto"/>
                <w:sz w:val="21"/>
                <w:szCs w:val="21"/>
                <w:highlight w:val="none"/>
              </w:rPr>
            </w:pPr>
          </w:p>
          <w:p w14:paraId="39E76DA5">
            <w:pPr>
              <w:rPr>
                <w:rFonts w:hint="eastAsia" w:ascii="宋体" w:hAnsi="宋体" w:cs="宋体"/>
                <w:b/>
                <w:color w:val="auto"/>
                <w:sz w:val="21"/>
                <w:szCs w:val="21"/>
                <w:highlight w:val="none"/>
              </w:rPr>
            </w:pPr>
          </w:p>
          <w:p w14:paraId="61A0A7A9">
            <w:pPr>
              <w:pStyle w:val="2"/>
              <w:tabs>
                <w:tab w:val="left" w:pos="562"/>
                <w:tab w:val="left" w:pos="3372"/>
                <w:tab w:val="left" w:pos="3653"/>
              </w:tabs>
              <w:rPr>
                <w:rFonts w:hint="eastAsia" w:ascii="宋体" w:hAnsi="宋体" w:cs="宋体"/>
                <w:b/>
                <w:color w:val="auto"/>
                <w:sz w:val="21"/>
                <w:szCs w:val="21"/>
                <w:highlight w:val="none"/>
              </w:rPr>
            </w:pPr>
          </w:p>
          <w:p w14:paraId="40921A86">
            <w:pPr>
              <w:rPr>
                <w:color w:val="auto"/>
                <w:sz w:val="21"/>
                <w:szCs w:val="21"/>
                <w:highlight w:val="none"/>
              </w:rPr>
            </w:pPr>
          </w:p>
        </w:tc>
      </w:tr>
    </w:tbl>
    <w:p w14:paraId="5D9DDAE9">
      <w:pPr>
        <w:tabs>
          <w:tab w:val="left" w:pos="266"/>
        </w:tabs>
        <w:rPr>
          <w:rFonts w:hint="eastAsia" w:ascii="宋体" w:hAnsi="宋体" w:cs="宋体"/>
          <w:b/>
          <w:color w:val="auto"/>
          <w:sz w:val="21"/>
          <w:szCs w:val="21"/>
          <w:highlight w:val="none"/>
        </w:rPr>
      </w:pPr>
    </w:p>
    <w:p w14:paraId="62DBCA27">
      <w:pPr>
        <w:tabs>
          <w:tab w:val="left" w:pos="266"/>
        </w:tabs>
        <w:rPr>
          <w:rFonts w:hint="eastAsia" w:ascii="宋体" w:hAnsi="宋体" w:cs="宋体"/>
          <w:b/>
          <w:color w:val="auto"/>
          <w:sz w:val="21"/>
          <w:szCs w:val="21"/>
          <w:highlight w:val="non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14:paraId="2D7B7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atLeast"/>
        </w:trPr>
        <w:tc>
          <w:tcPr>
            <w:tcW w:w="9287" w:type="dxa"/>
            <w:noWrap w:val="0"/>
            <w:vAlign w:val="top"/>
          </w:tcPr>
          <w:p w14:paraId="727D2C32">
            <w:pPr>
              <w:tabs>
                <w:tab w:val="left" w:pos="266"/>
              </w:tabs>
              <w:rPr>
                <w:rFonts w:hint="eastAsia" w:ascii="宋体" w:hAnsi="宋体" w:cs="宋体"/>
                <w:b/>
                <w:bCs/>
                <w:color w:val="auto"/>
                <w:sz w:val="21"/>
                <w:szCs w:val="21"/>
                <w:highlight w:val="none"/>
              </w:rPr>
            </w:pPr>
            <w:r>
              <w:rPr>
                <w:rFonts w:hint="eastAsia" w:ascii="宋体" w:hAnsi="宋体" w:cs="宋体"/>
                <w:b/>
                <w:color w:val="auto"/>
                <w:sz w:val="21"/>
                <w:szCs w:val="21"/>
                <w:highlight w:val="none"/>
              </w:rPr>
              <w:t>3、投标承诺：</w:t>
            </w:r>
          </w:p>
          <w:p w14:paraId="0E5A10BB">
            <w:pPr>
              <w:tabs>
                <w:tab w:val="left" w:pos="266"/>
              </w:tabs>
              <w:jc w:val="center"/>
              <w:rPr>
                <w:rFonts w:hint="eastAsia" w:ascii="宋体" w:hAnsi="宋体" w:cs="宋体"/>
                <w:b/>
                <w:bCs/>
                <w:color w:val="auto"/>
                <w:sz w:val="21"/>
                <w:szCs w:val="21"/>
                <w:highlight w:val="none"/>
              </w:rPr>
            </w:pPr>
          </w:p>
          <w:p w14:paraId="4B833351">
            <w:pPr>
              <w:tabs>
                <w:tab w:val="left" w:pos="266"/>
              </w:tabs>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投标承诺书</w:t>
            </w:r>
          </w:p>
          <w:p w14:paraId="668EC9D9">
            <w:pPr>
              <w:pStyle w:val="2"/>
              <w:tabs>
                <w:tab w:val="left" w:pos="562"/>
                <w:tab w:val="left" w:pos="3372"/>
                <w:tab w:val="left" w:pos="3653"/>
              </w:tabs>
              <w:rPr>
                <w:rFonts w:hint="eastAsia" w:ascii="宋体" w:hAnsi="宋体" w:cs="宋体"/>
                <w:b/>
                <w:bCs/>
                <w:color w:val="auto"/>
                <w:sz w:val="21"/>
                <w:szCs w:val="21"/>
                <w:highlight w:val="none"/>
              </w:rPr>
            </w:pPr>
          </w:p>
          <w:p w14:paraId="1765B9B2">
            <w:pPr>
              <w:ind w:firstLine="420" w:firstLineChars="200"/>
              <w:rPr>
                <w:rFonts w:hint="eastAsia"/>
                <w:color w:val="auto"/>
                <w:sz w:val="21"/>
                <w:szCs w:val="21"/>
                <w:highlight w:val="none"/>
                <w:u w:val="single"/>
              </w:rPr>
            </w:pPr>
            <w:r>
              <w:rPr>
                <w:rFonts w:hint="eastAsia"/>
                <w:color w:val="auto"/>
                <w:sz w:val="21"/>
                <w:szCs w:val="21"/>
                <w:highlight w:val="none"/>
              </w:rPr>
              <w:t>兹证明，本单位</w:t>
            </w:r>
            <w:r>
              <w:rPr>
                <w:rFonts w:hint="eastAsia"/>
                <w:color w:val="auto"/>
                <w:sz w:val="21"/>
                <w:szCs w:val="21"/>
                <w:highlight w:val="none"/>
                <w:u w:val="single"/>
              </w:rPr>
              <w:t xml:space="preserve">（    </w:t>
            </w:r>
            <w:r>
              <w:rPr>
                <w:rFonts w:hint="eastAsia" w:hAnsi="宋体" w:cs="宋体"/>
                <w:color w:val="auto"/>
                <w:sz w:val="21"/>
                <w:szCs w:val="21"/>
                <w:highlight w:val="none"/>
                <w:u w:val="single"/>
              </w:rPr>
              <w:t xml:space="preserve">单位名称   </w:t>
            </w:r>
            <w:r>
              <w:rPr>
                <w:rFonts w:hint="eastAsia"/>
                <w:color w:val="auto"/>
                <w:sz w:val="21"/>
                <w:szCs w:val="21"/>
                <w:highlight w:val="none"/>
                <w:u w:val="single"/>
              </w:rPr>
              <w:t>）（</w:t>
            </w:r>
            <w:r>
              <w:rPr>
                <w:rFonts w:hint="eastAsia" w:hAnsi="宋体" w:cs="宋体"/>
                <w:color w:val="auto"/>
                <w:sz w:val="21"/>
                <w:szCs w:val="21"/>
                <w:highlight w:val="none"/>
                <w:u w:val="single"/>
              </w:rPr>
              <w:t>被授权人的姓名</w:t>
            </w:r>
            <w:r>
              <w:rPr>
                <w:rFonts w:hint="eastAsia"/>
                <w:color w:val="auto"/>
                <w:sz w:val="21"/>
                <w:szCs w:val="21"/>
                <w:highlight w:val="none"/>
                <w:u w:val="single"/>
              </w:rPr>
              <w:t>）</w:t>
            </w:r>
            <w:r>
              <w:rPr>
                <w:rFonts w:hint="eastAsia"/>
                <w:color w:val="auto"/>
                <w:sz w:val="21"/>
                <w:szCs w:val="21"/>
                <w:highlight w:val="none"/>
              </w:rPr>
              <w:t>同志，于</w:t>
            </w:r>
            <w:r>
              <w:rPr>
                <w:rFonts w:hint="eastAsia"/>
                <w:color w:val="auto"/>
                <w:sz w:val="21"/>
                <w:szCs w:val="21"/>
                <w:highlight w:val="none"/>
                <w:u w:val="single"/>
              </w:rPr>
              <w:t xml:space="preserve">       年     月     日</w:t>
            </w:r>
            <w:r>
              <w:rPr>
                <w:rFonts w:hint="eastAsia"/>
                <w:color w:val="auto"/>
                <w:sz w:val="21"/>
                <w:szCs w:val="21"/>
                <w:highlight w:val="none"/>
              </w:rPr>
              <w:t>出生，身份证号码</w:t>
            </w:r>
            <w:r>
              <w:rPr>
                <w:rFonts w:hint="eastAsia"/>
                <w:color w:val="auto"/>
                <w:sz w:val="21"/>
                <w:szCs w:val="21"/>
                <w:highlight w:val="none"/>
                <w:u w:val="single"/>
              </w:rPr>
              <w:t>：                       ；</w:t>
            </w:r>
            <w:r>
              <w:rPr>
                <w:rFonts w:hint="eastAsia"/>
                <w:color w:val="auto"/>
                <w:sz w:val="21"/>
                <w:szCs w:val="21"/>
                <w:highlight w:val="none"/>
              </w:rPr>
              <w:t>该同志自</w:t>
            </w:r>
            <w:r>
              <w:rPr>
                <w:rFonts w:hint="eastAsia"/>
                <w:color w:val="auto"/>
                <w:sz w:val="21"/>
                <w:szCs w:val="21"/>
                <w:highlight w:val="none"/>
                <w:u w:val="single"/>
              </w:rPr>
              <w:t xml:space="preserve">      年    月</w:t>
            </w:r>
            <w:r>
              <w:rPr>
                <w:rFonts w:hint="eastAsia"/>
                <w:color w:val="auto"/>
                <w:sz w:val="21"/>
                <w:szCs w:val="21"/>
                <w:highlight w:val="none"/>
              </w:rPr>
              <w:t>至今已在我司工作</w:t>
            </w:r>
            <w:r>
              <w:rPr>
                <w:rFonts w:hint="eastAsia"/>
                <w:color w:val="auto"/>
                <w:sz w:val="21"/>
                <w:szCs w:val="21"/>
                <w:highlight w:val="none"/>
                <w:u w:val="single"/>
              </w:rPr>
              <w:t xml:space="preserve">   年。</w:t>
            </w:r>
          </w:p>
          <w:p w14:paraId="58B5C5E3">
            <w:pPr>
              <w:ind w:firstLine="420" w:firstLineChars="200"/>
              <w:rPr>
                <w:rFonts w:hint="eastAsia"/>
                <w:color w:val="auto"/>
                <w:sz w:val="21"/>
                <w:szCs w:val="21"/>
                <w:highlight w:val="none"/>
              </w:rPr>
            </w:pPr>
            <w:r>
              <w:rPr>
                <w:rFonts w:hint="eastAsia"/>
                <w:color w:val="auto"/>
                <w:sz w:val="21"/>
                <w:szCs w:val="21"/>
                <w:highlight w:val="none"/>
              </w:rPr>
              <w:t>我公司参与该项目投标，严格遵守政府采购相关法律，投标做到诚实，不造假，不围标、串标、陪标。我公司已清楚，如违反上述要求，其投标将作废，被列入不良记录名单并在网上曝光，同时将被提请采购监督管理部门给予一定年限内禁止参与政府采购活动或其他处罚。</w:t>
            </w:r>
          </w:p>
          <w:p w14:paraId="41675F1E">
            <w:pPr>
              <w:ind w:firstLine="420" w:firstLineChars="200"/>
              <w:rPr>
                <w:rFonts w:hint="eastAsia" w:eastAsia="宋体"/>
                <w:color w:val="auto"/>
                <w:sz w:val="21"/>
                <w:szCs w:val="21"/>
                <w:highlight w:val="none"/>
                <w:u w:val="single"/>
                <w:lang w:eastAsia="zh-CN"/>
              </w:rPr>
            </w:pPr>
            <w:r>
              <w:rPr>
                <w:rFonts w:hint="eastAsia"/>
                <w:color w:val="auto"/>
                <w:sz w:val="21"/>
                <w:szCs w:val="21"/>
                <w:highlight w:val="none"/>
              </w:rPr>
              <w:t>特此证明，特此承诺</w:t>
            </w:r>
            <w:r>
              <w:rPr>
                <w:rFonts w:hint="eastAsia"/>
                <w:color w:val="auto"/>
                <w:sz w:val="21"/>
                <w:szCs w:val="21"/>
                <w:highlight w:val="none"/>
                <w:lang w:eastAsia="zh-CN"/>
              </w:rPr>
              <w:t>。</w:t>
            </w:r>
          </w:p>
          <w:p w14:paraId="39260942">
            <w:pPr>
              <w:ind w:firstLine="420" w:firstLineChars="200"/>
              <w:rPr>
                <w:rFonts w:hint="eastAsia"/>
                <w:color w:val="auto"/>
                <w:sz w:val="21"/>
                <w:szCs w:val="21"/>
                <w:highlight w:val="none"/>
                <w:u w:val="single"/>
              </w:rPr>
            </w:pPr>
          </w:p>
          <w:p w14:paraId="310B6FF4">
            <w:pPr>
              <w:wordWrap w:val="0"/>
              <w:ind w:firstLine="422" w:firstLineChars="200"/>
              <w:jc w:val="right"/>
              <w:rPr>
                <w:b/>
                <w:bCs/>
                <w:color w:val="auto"/>
                <w:sz w:val="21"/>
                <w:szCs w:val="21"/>
                <w:highlight w:val="none"/>
              </w:rPr>
            </w:pPr>
            <w:r>
              <w:rPr>
                <w:rFonts w:hint="eastAsia"/>
                <w:b/>
                <w:bCs/>
                <w:color w:val="auto"/>
                <w:sz w:val="21"/>
                <w:szCs w:val="21"/>
                <w:highlight w:val="none"/>
              </w:rPr>
              <w:t xml:space="preserve">单位公章：           </w:t>
            </w:r>
          </w:p>
          <w:p w14:paraId="70A164FA">
            <w:pPr>
              <w:ind w:firstLine="422" w:firstLineChars="200"/>
              <w:jc w:val="right"/>
              <w:rPr>
                <w:color w:val="auto"/>
                <w:sz w:val="21"/>
                <w:szCs w:val="21"/>
                <w:highlight w:val="none"/>
                <w:u w:val="single"/>
              </w:rPr>
            </w:pPr>
            <w:r>
              <w:rPr>
                <w:rFonts w:hint="eastAsia"/>
                <w:b/>
                <w:bCs/>
                <w:color w:val="auto"/>
                <w:sz w:val="21"/>
                <w:szCs w:val="21"/>
                <w:highlight w:val="none"/>
              </w:rPr>
              <w:t xml:space="preserve">日期：   年   月   日 </w:t>
            </w:r>
            <w:r>
              <w:rPr>
                <w:rFonts w:hint="eastAsia"/>
                <w:color w:val="auto"/>
                <w:sz w:val="21"/>
                <w:szCs w:val="21"/>
                <w:highlight w:val="none"/>
                <w:u w:val="single"/>
              </w:rPr>
              <w:t xml:space="preserve">                                    </w:t>
            </w:r>
          </w:p>
        </w:tc>
      </w:tr>
    </w:tbl>
    <w:p w14:paraId="77A2471B">
      <w:pPr>
        <w:tabs>
          <w:tab w:val="left" w:pos="266"/>
        </w:tabs>
        <w:rPr>
          <w:rFonts w:hint="eastAsia" w:ascii="宋体" w:hAnsi="宋体" w:cs="宋体"/>
          <w:b/>
          <w:bCs/>
          <w:color w:val="auto"/>
          <w:sz w:val="21"/>
          <w:szCs w:val="21"/>
          <w:highlight w:val="none"/>
        </w:rPr>
      </w:pPr>
    </w:p>
    <w:p w14:paraId="5DB6D681">
      <w:pPr>
        <w:pStyle w:val="2"/>
        <w:tabs>
          <w:tab w:val="left" w:pos="562"/>
          <w:tab w:val="left" w:pos="3372"/>
          <w:tab w:val="left" w:pos="3653"/>
        </w:tabs>
        <w:rPr>
          <w:rFonts w:hint="eastAsia" w:ascii="宋体" w:hAnsi="宋体" w:cs="宋体"/>
          <w:b/>
          <w:bCs/>
          <w:color w:val="auto"/>
          <w:sz w:val="21"/>
          <w:szCs w:val="21"/>
          <w:highlight w:val="none"/>
        </w:rPr>
      </w:pPr>
    </w:p>
    <w:p w14:paraId="101D30D8">
      <w:pPr>
        <w:rPr>
          <w:rFonts w:hint="eastAsia" w:ascii="宋体" w:hAnsi="宋体" w:cs="宋体"/>
          <w:b/>
          <w:bCs/>
          <w:color w:val="auto"/>
          <w:sz w:val="21"/>
          <w:szCs w:val="21"/>
          <w:highlight w:val="none"/>
        </w:rPr>
      </w:pPr>
    </w:p>
    <w:p w14:paraId="69B25764">
      <w:pPr>
        <w:pStyle w:val="2"/>
        <w:tabs>
          <w:tab w:val="left" w:pos="562"/>
          <w:tab w:val="left" w:pos="3372"/>
          <w:tab w:val="left" w:pos="3653"/>
        </w:tabs>
        <w:jc w:val="left"/>
        <w:rPr>
          <w:rFonts w:hint="eastAsia" w:ascii="宋体" w:hAnsi="宋体" w:cs="宋体"/>
          <w:b/>
          <w:color w:val="auto"/>
          <w:sz w:val="21"/>
          <w:szCs w:val="21"/>
          <w:highlight w:val="none"/>
        </w:rPr>
      </w:pPr>
      <w:r>
        <w:rPr>
          <w:rFonts w:hint="eastAsia" w:cs="宋体"/>
          <w:b/>
          <w:bCs/>
          <w:color w:val="auto"/>
          <w:sz w:val="21"/>
          <w:szCs w:val="21"/>
          <w:highlight w:val="none"/>
        </w:rPr>
        <w:t>注意：以上三份附件是“</w:t>
      </w:r>
      <w:r>
        <w:rPr>
          <w:rFonts w:hint="eastAsia" w:ascii="宋体" w:hAnsi="宋体" w:cs="宋体"/>
          <w:b/>
          <w:color w:val="auto"/>
          <w:sz w:val="21"/>
          <w:szCs w:val="21"/>
          <w:highlight w:val="none"/>
        </w:rPr>
        <w:t>法定代表人授权书</w:t>
      </w:r>
      <w:r>
        <w:rPr>
          <w:rFonts w:hint="eastAsia" w:cs="宋体"/>
          <w:b/>
          <w:bCs/>
          <w:color w:val="auto"/>
          <w:sz w:val="21"/>
          <w:szCs w:val="21"/>
          <w:highlight w:val="none"/>
        </w:rPr>
        <w:t>”的必备证明材料。未按要求提供三份附件的，作投标无效处理。</w:t>
      </w:r>
    </w:p>
    <w:p w14:paraId="5EDFF769">
      <w:pPr>
        <w:pStyle w:val="21"/>
        <w:numPr>
          <w:ilvl w:val="0"/>
          <w:numId w:val="0"/>
        </w:numPr>
        <w:jc w:val="both"/>
        <w:rPr>
          <w:rFonts w:hint="eastAsia" w:ascii="宋体" w:hAnsi="宋体" w:eastAsia="宋体" w:cs="宋体"/>
          <w:b/>
          <w:bCs/>
          <w:color w:val="auto"/>
          <w:sz w:val="21"/>
          <w:szCs w:val="21"/>
          <w:highlight w:val="none"/>
          <w:lang w:val="en-US" w:eastAsia="zh-CN"/>
        </w:rPr>
      </w:pPr>
    </w:p>
    <w:p w14:paraId="26EC5091">
      <w:pPr>
        <w:pStyle w:val="21"/>
        <w:numPr>
          <w:ilvl w:val="0"/>
          <w:numId w:val="0"/>
        </w:numPr>
        <w:jc w:val="both"/>
        <w:rPr>
          <w:rFonts w:hint="eastAsia" w:ascii="宋体" w:hAnsi="宋体" w:eastAsia="宋体" w:cs="宋体"/>
          <w:b/>
          <w:bCs/>
          <w:color w:val="auto"/>
          <w:sz w:val="21"/>
          <w:szCs w:val="21"/>
          <w:highlight w:val="none"/>
          <w:lang w:val="en-US" w:eastAsia="zh-CN"/>
        </w:rPr>
      </w:pPr>
    </w:p>
    <w:p w14:paraId="5ABCE38F">
      <w:pPr>
        <w:pStyle w:val="21"/>
        <w:numPr>
          <w:ilvl w:val="0"/>
          <w:numId w:val="0"/>
        </w:numPr>
        <w:jc w:val="both"/>
        <w:rPr>
          <w:rFonts w:hint="eastAsia" w:ascii="宋体" w:hAnsi="宋体" w:eastAsia="宋体" w:cs="宋体"/>
          <w:b/>
          <w:bCs/>
          <w:color w:val="auto"/>
          <w:sz w:val="21"/>
          <w:szCs w:val="21"/>
          <w:highlight w:val="none"/>
          <w:lang w:val="en-US" w:eastAsia="zh-CN"/>
        </w:rPr>
      </w:pPr>
    </w:p>
    <w:p w14:paraId="3DB82F00">
      <w:pPr>
        <w:pStyle w:val="21"/>
        <w:numPr>
          <w:ilvl w:val="0"/>
          <w:numId w:val="0"/>
        </w:numPr>
        <w:jc w:val="both"/>
        <w:rPr>
          <w:rFonts w:hint="eastAsia" w:ascii="宋体" w:hAnsi="宋体" w:eastAsia="宋体" w:cs="宋体"/>
          <w:b/>
          <w:bCs/>
          <w:color w:val="auto"/>
          <w:sz w:val="21"/>
          <w:szCs w:val="21"/>
          <w:highlight w:val="none"/>
          <w:lang w:val="en-US" w:eastAsia="zh-CN"/>
        </w:rPr>
      </w:pPr>
    </w:p>
    <w:p w14:paraId="17D20540">
      <w:pPr>
        <w:pStyle w:val="21"/>
        <w:numPr>
          <w:ilvl w:val="0"/>
          <w:numId w:val="0"/>
        </w:numPr>
        <w:jc w:val="both"/>
        <w:rPr>
          <w:rFonts w:hint="eastAsia" w:ascii="宋体" w:hAnsi="宋体" w:eastAsia="宋体" w:cs="宋体"/>
          <w:b/>
          <w:bCs/>
          <w:color w:val="auto"/>
          <w:sz w:val="21"/>
          <w:szCs w:val="21"/>
          <w:highlight w:val="none"/>
          <w:lang w:val="en-US" w:eastAsia="zh-CN"/>
        </w:rPr>
      </w:pPr>
    </w:p>
    <w:p w14:paraId="40D59234">
      <w:pPr>
        <w:pStyle w:val="21"/>
        <w:numPr>
          <w:ilvl w:val="0"/>
          <w:numId w:val="0"/>
        </w:numPr>
        <w:jc w:val="both"/>
        <w:rPr>
          <w:rFonts w:hint="eastAsia" w:ascii="宋体" w:hAnsi="宋体" w:eastAsia="宋体" w:cs="宋体"/>
          <w:b/>
          <w:bCs/>
          <w:color w:val="auto"/>
          <w:sz w:val="21"/>
          <w:szCs w:val="21"/>
          <w:highlight w:val="none"/>
          <w:lang w:val="en-US" w:eastAsia="zh-CN"/>
        </w:rPr>
      </w:pPr>
    </w:p>
    <w:p w14:paraId="7CD46937">
      <w:pPr>
        <w:spacing w:line="480" w:lineRule="auto"/>
        <w:jc w:val="center"/>
        <w:outlineLvl w:val="3"/>
        <w:rPr>
          <w:rFonts w:hint="eastAsia" w:ascii="宋体" w:hAnsi="宋体" w:cs="宋体"/>
          <w:b/>
          <w:color w:val="auto"/>
          <w:sz w:val="28"/>
          <w:szCs w:val="28"/>
          <w:highlight w:val="none"/>
        </w:rPr>
      </w:pPr>
      <w:r>
        <w:rPr>
          <w:rFonts w:hint="eastAsia" w:ascii="宋体" w:hAnsi="宋体" w:cs="宋体"/>
          <w:b/>
          <w:color w:val="auto"/>
          <w:sz w:val="28"/>
          <w:szCs w:val="28"/>
          <w:highlight w:val="none"/>
        </w:rPr>
        <w:t>五、政府采购投标及履约承诺函</w:t>
      </w:r>
    </w:p>
    <w:p w14:paraId="167C670A">
      <w:pPr>
        <w:spacing w:line="400" w:lineRule="exact"/>
        <w:rPr>
          <w:rFonts w:ascii="宋体" w:hAnsi="宋体" w:cs="宋体"/>
          <w:b/>
          <w:bCs/>
          <w:color w:val="auto"/>
          <w:sz w:val="21"/>
          <w:szCs w:val="21"/>
          <w:highlight w:val="none"/>
        </w:rPr>
      </w:pPr>
      <w:r>
        <w:rPr>
          <w:rFonts w:hint="eastAsia" w:ascii="宋体" w:hAnsi="宋体"/>
          <w:b/>
          <w:color w:val="auto"/>
          <w:sz w:val="21"/>
          <w:szCs w:val="21"/>
          <w:highlight w:val="none"/>
          <w:lang w:val="en-US" w:eastAsia="zh-CN"/>
        </w:rPr>
        <w:t>深圳市第二实验学校明远高中</w:t>
      </w:r>
      <w:r>
        <w:rPr>
          <w:rFonts w:hint="eastAsia" w:ascii="宋体" w:hAnsi="宋体"/>
          <w:b/>
          <w:color w:val="auto"/>
          <w:sz w:val="21"/>
          <w:szCs w:val="21"/>
          <w:highlight w:val="none"/>
        </w:rPr>
        <w:t>：</w:t>
      </w:r>
    </w:p>
    <w:p w14:paraId="14393461">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我单位深知本项目对贵单位的重要性和紧迫性，亦了解贵单位对廉政建设的相关要求，因此我单位承诺如下：</w:t>
      </w:r>
    </w:p>
    <w:p w14:paraId="333A0C8B">
      <w:pPr>
        <w:numPr>
          <w:ilvl w:val="0"/>
          <w:numId w:val="17"/>
        </w:numPr>
        <w:spacing w:line="288" w:lineRule="auto"/>
        <w:ind w:left="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我单位本招标项目所提供的货物或服务未侵犯知识产权。</w:t>
      </w:r>
    </w:p>
    <w:p w14:paraId="78615AB6">
      <w:pPr>
        <w:numPr>
          <w:ilvl w:val="0"/>
          <w:numId w:val="17"/>
        </w:numPr>
        <w:spacing w:line="288" w:lineRule="auto"/>
        <w:ind w:left="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我单位及法定代表人参与政府采购项目投标近三年内（投标人成立不足三年的可从成立之日起算）在经营活动中没有重大违法记录；参与本项目投标前三年内，在经营活动中</w:t>
      </w:r>
      <w:r>
        <w:rPr>
          <w:rFonts w:hint="eastAsia" w:ascii="宋体" w:hAnsi="宋体" w:cs="宋体"/>
          <w:color w:val="auto"/>
          <w:sz w:val="21"/>
          <w:szCs w:val="21"/>
          <w:highlight w:val="none"/>
          <w:lang w:val="en-US" w:eastAsia="zh-CN"/>
        </w:rPr>
        <w:t>无行贿犯罪</w:t>
      </w:r>
      <w:r>
        <w:rPr>
          <w:rFonts w:hint="eastAsia" w:ascii="宋体" w:hAnsi="宋体" w:cs="宋体"/>
          <w:color w:val="auto"/>
          <w:sz w:val="21"/>
          <w:szCs w:val="21"/>
          <w:highlight w:val="none"/>
        </w:rPr>
        <w:t>记录。</w:t>
      </w:r>
    </w:p>
    <w:p w14:paraId="4333A6CE">
      <w:pPr>
        <w:numPr>
          <w:ilvl w:val="0"/>
          <w:numId w:val="17"/>
        </w:numPr>
        <w:spacing w:line="288" w:lineRule="auto"/>
        <w:ind w:left="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我单位参与本项目政府采购活动时不存在被有关部门禁止参与政府采购活动且在有效期内的情况。</w:t>
      </w:r>
    </w:p>
    <w:p w14:paraId="4E7A1E9B">
      <w:pPr>
        <w:numPr>
          <w:ilvl w:val="0"/>
          <w:numId w:val="17"/>
        </w:numPr>
        <w:spacing w:line="288" w:lineRule="auto"/>
        <w:ind w:left="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我单位具备《中华人民共和国政府采购法》第二十二条规定条件。</w:t>
      </w:r>
    </w:p>
    <w:p w14:paraId="2B02DCE9">
      <w:pPr>
        <w:numPr>
          <w:ilvl w:val="0"/>
          <w:numId w:val="17"/>
        </w:numPr>
        <w:spacing w:line="288" w:lineRule="auto"/>
        <w:ind w:left="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单位参与该项目投标，严格遵循公平竞争的原则，不恶意串通，不妨碍其他投标人的竞争行为，不损害采购人或者其他投标人的合法权益。我单位已清楚，如违反上述要求，将作投标无效处理，并自动放弃贵单位自本项目起所有采购项目的投标事宜。</w:t>
      </w:r>
    </w:p>
    <w:p w14:paraId="166FC1A0">
      <w:pPr>
        <w:numPr>
          <w:ilvl w:val="0"/>
          <w:numId w:val="17"/>
        </w:numPr>
        <w:spacing w:line="288" w:lineRule="auto"/>
        <w:ind w:left="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我单位如果中标，做到诚实守信，依照本项目招标文件需求内容、签署的采购合同及本单位在投标中所作的一切承诺履约。</w:t>
      </w:r>
    </w:p>
    <w:p w14:paraId="09E2A107">
      <w:pPr>
        <w:numPr>
          <w:ilvl w:val="0"/>
          <w:numId w:val="17"/>
        </w:numPr>
        <w:spacing w:line="288" w:lineRule="auto"/>
        <w:ind w:left="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D54D13F">
      <w:pPr>
        <w:numPr>
          <w:ilvl w:val="0"/>
          <w:numId w:val="17"/>
        </w:numPr>
        <w:spacing w:line="288" w:lineRule="auto"/>
        <w:ind w:left="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14:paraId="5D6B6B4B">
      <w:pPr>
        <w:numPr>
          <w:ilvl w:val="0"/>
          <w:numId w:val="17"/>
        </w:numPr>
        <w:spacing w:line="288" w:lineRule="auto"/>
        <w:ind w:left="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我单位承诺不非法转包、分包。</w:t>
      </w:r>
    </w:p>
    <w:p w14:paraId="623F2E7A">
      <w:pPr>
        <w:numPr>
          <w:ilvl w:val="0"/>
          <w:numId w:val="17"/>
        </w:numPr>
        <w:spacing w:line="288" w:lineRule="auto"/>
        <w:ind w:left="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我单位承诺未参与本项目的采购需求、技术指标、商务指标等内容的设定，不存在对其他投标单位不公平的行为。</w:t>
      </w:r>
    </w:p>
    <w:p w14:paraId="2B02601E">
      <w:pPr>
        <w:numPr>
          <w:ilvl w:val="0"/>
          <w:numId w:val="17"/>
        </w:numPr>
        <w:spacing w:line="288" w:lineRule="auto"/>
        <w:ind w:left="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我单位承诺不对采购人进行贿赂，进行有偿报答。</w:t>
      </w:r>
    </w:p>
    <w:p w14:paraId="45063029">
      <w:pPr>
        <w:numPr>
          <w:ilvl w:val="0"/>
          <w:numId w:val="17"/>
        </w:numPr>
        <w:spacing w:line="288" w:lineRule="auto"/>
        <w:ind w:left="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我单位承诺不对采购人进行任何形式的利益输送。</w:t>
      </w:r>
    </w:p>
    <w:p w14:paraId="460507B9">
      <w:pPr>
        <w:numPr>
          <w:ilvl w:val="0"/>
          <w:numId w:val="17"/>
        </w:numPr>
        <w:spacing w:line="288" w:lineRule="auto"/>
        <w:ind w:left="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我单位承诺不对采购人进行宴请和娱乐等消费活动。</w:t>
      </w:r>
    </w:p>
    <w:p w14:paraId="459986C2">
      <w:pPr>
        <w:numPr>
          <w:ilvl w:val="0"/>
          <w:numId w:val="17"/>
        </w:numPr>
        <w:spacing w:line="288" w:lineRule="auto"/>
        <w:ind w:left="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我单位承诺不对采购人进行赠送各种礼品、现金、有价证券、中介费、好处费等行为。</w:t>
      </w:r>
    </w:p>
    <w:p w14:paraId="639247A9">
      <w:pPr>
        <w:numPr>
          <w:ilvl w:val="0"/>
          <w:numId w:val="17"/>
        </w:numPr>
        <w:spacing w:line="288" w:lineRule="auto"/>
        <w:ind w:left="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本公司在招标投标活动中无串通投标、弄虚作假不良行为记录被暂停投标资格期间或涉嫌串通投标、弄虚作假并正在接受主管部门调查的情况。</w:t>
      </w:r>
    </w:p>
    <w:p w14:paraId="121328C3">
      <w:pPr>
        <w:numPr>
          <w:ilvl w:val="0"/>
          <w:numId w:val="17"/>
        </w:numPr>
        <w:spacing w:line="288" w:lineRule="auto"/>
        <w:ind w:left="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我单位承诺未存在单位负责人为同一人或者存在直接控股、管理关系的供应商参加同一合同项下的政府采购活动。</w:t>
      </w:r>
    </w:p>
    <w:p w14:paraId="7BA4A1BB">
      <w:pPr>
        <w:numPr>
          <w:ilvl w:val="0"/>
          <w:numId w:val="17"/>
        </w:numPr>
        <w:spacing w:line="288" w:lineRule="auto"/>
        <w:ind w:left="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我单位承诺未为本项目提供整体设计、规范编制或者项目管理、监理、检测等服务。</w:t>
      </w:r>
    </w:p>
    <w:p w14:paraId="295349C3">
      <w:pPr>
        <w:numPr>
          <w:ilvl w:val="0"/>
          <w:numId w:val="17"/>
        </w:numPr>
        <w:spacing w:line="288" w:lineRule="auto"/>
        <w:ind w:left="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我单位承诺具有良好的商业信誉和健全的财务会计制度，具有履行合同所必需的设备和专业技术能力，有依法缴纳税收和社会保障资金的良好记录。</w:t>
      </w:r>
    </w:p>
    <w:p w14:paraId="7B3A540B">
      <w:pPr>
        <w:numPr>
          <w:ilvl w:val="0"/>
          <w:numId w:val="17"/>
        </w:numPr>
        <w:spacing w:line="288" w:lineRule="auto"/>
        <w:ind w:left="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我单位已知悉并同意中标（成交）结果信息公示（公开）的内容。</w:t>
      </w:r>
    </w:p>
    <w:p w14:paraId="182816AF">
      <w:pPr>
        <w:numPr>
          <w:ilvl w:val="0"/>
          <w:numId w:val="17"/>
        </w:numPr>
        <w:spacing w:line="288" w:lineRule="auto"/>
        <w:ind w:left="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本公司无因违反建设工程法律、法规规定而受到建设行政主管部门红色警示并正在红色警示期间的情况。</w:t>
      </w:r>
    </w:p>
    <w:p w14:paraId="0D90448A">
      <w:pPr>
        <w:numPr>
          <w:ilvl w:val="0"/>
          <w:numId w:val="17"/>
        </w:numPr>
        <w:spacing w:line="288" w:lineRule="auto"/>
        <w:ind w:left="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符合国家法规政策关于诚信管理的要求，至投标截止时间，本公司及法定代表人未有在“信用中国”网（www.creditchina.gov.cn）、中国政府采购网（www.ccgp.gov.cn）、深圳市政府采购监督管理网（zfcg.sz.gov.cn）、深圳公共资源交易中心市区政府采购统一平台（www.szzfcg.cn）和“国家企业信用信息公示系统（www.gsxt.gov.cn）等5个官网中列入“失信被执行人、重大税收违法失信主体、政府采购严重违法失信行为记录名单”。</w:t>
      </w:r>
    </w:p>
    <w:p w14:paraId="3A36D114">
      <w:pPr>
        <w:spacing w:line="288"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22.我单位承诺“本单位（公司）不存在《深圳市财政局政府采购供应商信用信息管理办法》（深财规〔2023〕3号）列明的严重违法失信行为。</w:t>
      </w:r>
    </w:p>
    <w:p w14:paraId="3B816D17">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以上承诺，如有违反，愿依照国家相关法律处理，并承担由此给采购人带来的损失。</w:t>
      </w:r>
    </w:p>
    <w:p w14:paraId="1253200B">
      <w:pPr>
        <w:pStyle w:val="2"/>
        <w:tabs>
          <w:tab w:val="left" w:pos="562"/>
          <w:tab w:val="left" w:pos="3372"/>
          <w:tab w:val="left" w:pos="3653"/>
        </w:tabs>
        <w:rPr>
          <w:color w:val="auto"/>
          <w:sz w:val="21"/>
          <w:szCs w:val="21"/>
          <w:highlight w:val="none"/>
        </w:rPr>
      </w:pPr>
    </w:p>
    <w:p w14:paraId="67CEF1E9">
      <w:pPr>
        <w:spacing w:line="264" w:lineRule="auto"/>
        <w:ind w:firstLine="420" w:firstLineChars="200"/>
        <w:rPr>
          <w:rFonts w:ascii="宋体" w:hAnsi="宋体" w:cs="宋体"/>
          <w:b/>
          <w:bCs/>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b/>
          <w:bCs/>
          <w:color w:val="auto"/>
          <w:sz w:val="21"/>
          <w:szCs w:val="21"/>
          <w:highlight w:val="none"/>
        </w:rPr>
        <w:t xml:space="preserve">  承诺单位（公司）盖章：</w:t>
      </w:r>
    </w:p>
    <w:p w14:paraId="0D35344D">
      <w:pPr>
        <w:pStyle w:val="9"/>
        <w:tabs>
          <w:tab w:val="left" w:pos="5580"/>
        </w:tabs>
        <w:spacing w:line="264" w:lineRule="auto"/>
        <w:rPr>
          <w:rFonts w:ascii="Arial" w:hAnsi="Arial" w:cs="Arial"/>
          <w:b/>
          <w:bCs/>
          <w:color w:val="auto"/>
          <w:sz w:val="21"/>
          <w:szCs w:val="21"/>
          <w:highlight w:val="none"/>
        </w:rPr>
      </w:pPr>
      <w:r>
        <w:rPr>
          <w:rFonts w:hint="eastAsia" w:hAnsi="宋体" w:cs="宋体"/>
          <w:b/>
          <w:bCs/>
          <w:color w:val="auto"/>
          <w:sz w:val="21"/>
          <w:szCs w:val="21"/>
          <w:highlight w:val="none"/>
        </w:rPr>
        <w:t xml:space="preserve">                                              年   月   日 </w:t>
      </w:r>
    </w:p>
    <w:p w14:paraId="21538F27">
      <w:pPr>
        <w:spacing w:line="264" w:lineRule="auto"/>
        <w:ind w:firstLine="422" w:firstLineChars="200"/>
        <w:rPr>
          <w:rFonts w:hint="eastAsia" w:ascii="宋体" w:hAnsi="宋体" w:cs="宋体"/>
          <w:b/>
          <w:bCs/>
          <w:color w:val="auto"/>
          <w:sz w:val="21"/>
          <w:szCs w:val="21"/>
          <w:highlight w:val="none"/>
        </w:rPr>
      </w:pPr>
    </w:p>
    <w:p w14:paraId="3D7CB795">
      <w:pPr>
        <w:spacing w:line="240" w:lineRule="exact"/>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（注：若投标人有出现过《政府采购投标及履约承诺函》提到的行为，不可提供该承诺函，否则按相关规定处理；若没有出现过《政府采购投标及履约承诺函》提到的行为，按要求填写，不得更改承诺内容。）</w:t>
      </w:r>
    </w:p>
    <w:p w14:paraId="3B76911A">
      <w:pPr>
        <w:pStyle w:val="21"/>
        <w:numPr>
          <w:ilvl w:val="0"/>
          <w:numId w:val="0"/>
        </w:numPr>
        <w:jc w:val="both"/>
        <w:rPr>
          <w:rFonts w:hint="eastAsia" w:ascii="宋体" w:hAnsi="宋体" w:eastAsia="宋体" w:cs="宋体"/>
          <w:b/>
          <w:bCs/>
          <w:color w:val="auto"/>
          <w:sz w:val="21"/>
          <w:szCs w:val="21"/>
          <w:highlight w:val="none"/>
          <w:lang w:val="en-US" w:eastAsia="zh-CN"/>
        </w:rPr>
      </w:pPr>
    </w:p>
    <w:p w14:paraId="3E180140">
      <w:pPr>
        <w:pStyle w:val="21"/>
        <w:numPr>
          <w:ilvl w:val="0"/>
          <w:numId w:val="0"/>
        </w:numPr>
        <w:jc w:val="both"/>
        <w:rPr>
          <w:rFonts w:hint="eastAsia" w:ascii="宋体" w:hAnsi="宋体" w:eastAsia="宋体" w:cs="宋体"/>
          <w:b/>
          <w:bCs/>
          <w:color w:val="auto"/>
          <w:sz w:val="21"/>
          <w:szCs w:val="21"/>
          <w:highlight w:val="none"/>
          <w:lang w:val="en-US" w:eastAsia="zh-CN"/>
        </w:rPr>
      </w:pPr>
    </w:p>
    <w:p w14:paraId="3F4E321C">
      <w:pPr>
        <w:pStyle w:val="21"/>
        <w:numPr>
          <w:ilvl w:val="0"/>
          <w:numId w:val="0"/>
        </w:numPr>
        <w:jc w:val="both"/>
        <w:rPr>
          <w:rFonts w:hint="eastAsia" w:ascii="宋体" w:hAnsi="宋体" w:eastAsia="宋体" w:cs="宋体"/>
          <w:b/>
          <w:bCs/>
          <w:color w:val="auto"/>
          <w:sz w:val="21"/>
          <w:szCs w:val="21"/>
          <w:highlight w:val="none"/>
          <w:lang w:val="en-US" w:eastAsia="zh-CN"/>
        </w:rPr>
      </w:pPr>
    </w:p>
    <w:p w14:paraId="2D3E1C1F">
      <w:pPr>
        <w:pStyle w:val="21"/>
        <w:numPr>
          <w:ilvl w:val="0"/>
          <w:numId w:val="0"/>
        </w:numPr>
        <w:jc w:val="both"/>
        <w:rPr>
          <w:rFonts w:hint="eastAsia" w:ascii="宋体" w:hAnsi="宋体" w:eastAsia="宋体" w:cs="宋体"/>
          <w:b/>
          <w:bCs/>
          <w:color w:val="auto"/>
          <w:sz w:val="21"/>
          <w:szCs w:val="21"/>
          <w:highlight w:val="none"/>
          <w:lang w:val="en-US" w:eastAsia="zh-CN"/>
        </w:rPr>
      </w:pPr>
    </w:p>
    <w:p w14:paraId="67977818">
      <w:pPr>
        <w:pStyle w:val="21"/>
        <w:numPr>
          <w:ilvl w:val="0"/>
          <w:numId w:val="0"/>
        </w:numPr>
        <w:jc w:val="both"/>
        <w:rPr>
          <w:rFonts w:hint="eastAsia" w:ascii="宋体" w:hAnsi="宋体" w:eastAsia="宋体" w:cs="宋体"/>
          <w:b/>
          <w:bCs/>
          <w:color w:val="auto"/>
          <w:sz w:val="21"/>
          <w:szCs w:val="21"/>
          <w:highlight w:val="none"/>
          <w:lang w:val="en-US" w:eastAsia="zh-CN"/>
        </w:rPr>
      </w:pPr>
    </w:p>
    <w:p w14:paraId="61D4050A">
      <w:pPr>
        <w:pStyle w:val="21"/>
        <w:numPr>
          <w:ilvl w:val="0"/>
          <w:numId w:val="0"/>
        </w:numPr>
        <w:jc w:val="both"/>
        <w:rPr>
          <w:rFonts w:hint="eastAsia" w:ascii="宋体" w:hAnsi="宋体" w:eastAsia="宋体" w:cs="宋体"/>
          <w:b/>
          <w:bCs/>
          <w:color w:val="auto"/>
          <w:sz w:val="21"/>
          <w:szCs w:val="21"/>
          <w:highlight w:val="none"/>
          <w:lang w:val="en-US" w:eastAsia="zh-CN"/>
        </w:rPr>
      </w:pPr>
    </w:p>
    <w:p w14:paraId="2E2AF25E">
      <w:pPr>
        <w:pStyle w:val="21"/>
        <w:numPr>
          <w:ilvl w:val="0"/>
          <w:numId w:val="0"/>
        </w:numPr>
        <w:jc w:val="both"/>
        <w:rPr>
          <w:rFonts w:hint="eastAsia" w:ascii="宋体" w:hAnsi="宋体" w:eastAsia="宋体" w:cs="宋体"/>
          <w:b/>
          <w:bCs/>
          <w:color w:val="auto"/>
          <w:sz w:val="21"/>
          <w:szCs w:val="21"/>
          <w:highlight w:val="none"/>
          <w:lang w:val="en-US" w:eastAsia="zh-CN"/>
        </w:rPr>
      </w:pPr>
    </w:p>
    <w:p w14:paraId="3A197912">
      <w:pPr>
        <w:pStyle w:val="21"/>
        <w:numPr>
          <w:ilvl w:val="0"/>
          <w:numId w:val="0"/>
        </w:numPr>
        <w:jc w:val="both"/>
        <w:rPr>
          <w:rFonts w:hint="eastAsia" w:ascii="宋体" w:hAnsi="宋体" w:eastAsia="宋体" w:cs="宋体"/>
          <w:b/>
          <w:bCs/>
          <w:color w:val="auto"/>
          <w:sz w:val="21"/>
          <w:szCs w:val="21"/>
          <w:highlight w:val="none"/>
          <w:lang w:val="en-US" w:eastAsia="zh-CN"/>
        </w:rPr>
      </w:pPr>
    </w:p>
    <w:p w14:paraId="4D76BA38">
      <w:pPr>
        <w:pStyle w:val="21"/>
        <w:numPr>
          <w:ilvl w:val="0"/>
          <w:numId w:val="0"/>
        </w:numPr>
        <w:jc w:val="both"/>
        <w:rPr>
          <w:rFonts w:hint="eastAsia" w:ascii="宋体" w:hAnsi="宋体" w:eastAsia="宋体" w:cs="宋体"/>
          <w:b/>
          <w:bCs/>
          <w:color w:val="auto"/>
          <w:sz w:val="21"/>
          <w:szCs w:val="21"/>
          <w:highlight w:val="none"/>
          <w:lang w:val="en-US" w:eastAsia="zh-CN"/>
        </w:rPr>
      </w:pPr>
    </w:p>
    <w:p w14:paraId="4A9B46DB">
      <w:pPr>
        <w:pStyle w:val="21"/>
        <w:numPr>
          <w:ilvl w:val="0"/>
          <w:numId w:val="0"/>
        </w:numPr>
        <w:jc w:val="both"/>
        <w:rPr>
          <w:rFonts w:hint="eastAsia" w:ascii="宋体" w:hAnsi="宋体" w:eastAsia="宋体" w:cs="宋体"/>
          <w:b/>
          <w:bCs/>
          <w:color w:val="auto"/>
          <w:sz w:val="21"/>
          <w:szCs w:val="21"/>
          <w:highlight w:val="none"/>
          <w:lang w:val="en-US" w:eastAsia="zh-CN"/>
        </w:rPr>
      </w:pPr>
    </w:p>
    <w:p w14:paraId="696DBB9C">
      <w:pPr>
        <w:pStyle w:val="21"/>
        <w:numPr>
          <w:ilvl w:val="0"/>
          <w:numId w:val="0"/>
        </w:numPr>
        <w:jc w:val="both"/>
        <w:rPr>
          <w:rFonts w:hint="eastAsia" w:ascii="宋体" w:hAnsi="宋体" w:eastAsia="宋体" w:cs="宋体"/>
          <w:b/>
          <w:bCs/>
          <w:color w:val="auto"/>
          <w:sz w:val="21"/>
          <w:szCs w:val="21"/>
          <w:highlight w:val="none"/>
          <w:lang w:val="en-US" w:eastAsia="zh-CN"/>
        </w:rPr>
      </w:pPr>
    </w:p>
    <w:p w14:paraId="2D00AF14">
      <w:pPr>
        <w:spacing w:line="480" w:lineRule="auto"/>
        <w:jc w:val="center"/>
        <w:outlineLvl w:val="3"/>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六</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en-US" w:eastAsia="zh-CN"/>
        </w:rPr>
        <w:t>投标文件真实性承诺函</w:t>
      </w:r>
    </w:p>
    <w:p w14:paraId="23AD6AF9">
      <w:pPr>
        <w:spacing w:line="600" w:lineRule="auto"/>
        <w:jc w:val="left"/>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rPr>
        <w:t>致：</w:t>
      </w:r>
      <w:r>
        <w:rPr>
          <w:rFonts w:hint="eastAsia" w:ascii="宋体" w:hAnsi="宋体" w:cs="宋体"/>
          <w:b/>
          <w:color w:val="auto"/>
          <w:sz w:val="21"/>
          <w:szCs w:val="21"/>
          <w:highlight w:val="none"/>
          <w:lang w:val="en-US" w:eastAsia="zh-CN"/>
        </w:rPr>
        <w:t>深圳市第二实验学校明远高中</w:t>
      </w:r>
    </w:p>
    <w:p w14:paraId="282EDD20">
      <w:pPr>
        <w:spacing w:line="600" w:lineRule="auto"/>
        <w:ind w:firstLine="495" w:firstLineChars="236"/>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 xml:space="preserve"> （ 投标人名称）    </w:t>
      </w:r>
      <w:r>
        <w:rPr>
          <w:rFonts w:hint="eastAsia" w:ascii="宋体" w:hAnsi="宋体" w:cs="宋体"/>
          <w:color w:val="auto"/>
          <w:sz w:val="21"/>
          <w:szCs w:val="21"/>
          <w:highlight w:val="none"/>
        </w:rPr>
        <w:t xml:space="preserve"> 参与了</w:t>
      </w:r>
      <w:r>
        <w:rPr>
          <w:rFonts w:hint="eastAsia" w:ascii="宋体" w:hAnsi="宋体" w:cs="宋体"/>
          <w:color w:val="auto"/>
          <w:sz w:val="21"/>
          <w:szCs w:val="21"/>
          <w:highlight w:val="none"/>
          <w:u w:val="single"/>
        </w:rPr>
        <w:t xml:space="preserve"> （项目名称 、招标编号） </w:t>
      </w:r>
      <w:r>
        <w:rPr>
          <w:rFonts w:hint="eastAsia" w:ascii="宋体" w:hAnsi="宋体" w:cs="宋体"/>
          <w:color w:val="auto"/>
          <w:sz w:val="21"/>
          <w:szCs w:val="21"/>
          <w:highlight w:val="none"/>
        </w:rPr>
        <w:t>的投标，现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6167EA3C">
      <w:pPr>
        <w:spacing w:line="480" w:lineRule="auto"/>
        <w:ind w:left="420"/>
        <w:rPr>
          <w:rFonts w:hint="eastAsia" w:ascii="宋体" w:hAnsi="宋体" w:cs="宋体"/>
          <w:color w:val="auto"/>
          <w:sz w:val="21"/>
          <w:szCs w:val="21"/>
          <w:highlight w:val="none"/>
        </w:rPr>
      </w:pPr>
      <w:r>
        <w:rPr>
          <w:rFonts w:hint="eastAsia" w:ascii="宋体" w:hAnsi="宋体" w:cs="宋体"/>
          <w:color w:val="auto"/>
          <w:sz w:val="21"/>
          <w:szCs w:val="21"/>
          <w:highlight w:val="none"/>
        </w:rPr>
        <w:t>特此承诺！</w:t>
      </w:r>
    </w:p>
    <w:p w14:paraId="1D8E7A63">
      <w:pPr>
        <w:ind w:left="420"/>
        <w:rPr>
          <w:rFonts w:hint="eastAsia" w:ascii="宋体" w:hAnsi="宋体" w:cs="宋体"/>
          <w:color w:val="auto"/>
          <w:sz w:val="21"/>
          <w:szCs w:val="21"/>
          <w:highlight w:val="none"/>
        </w:rPr>
      </w:pPr>
    </w:p>
    <w:p w14:paraId="33CFA71C">
      <w:pPr>
        <w:ind w:left="420"/>
        <w:rPr>
          <w:rFonts w:hint="eastAsia" w:ascii="宋体" w:hAnsi="宋体" w:cs="宋体"/>
          <w:color w:val="auto"/>
          <w:sz w:val="21"/>
          <w:szCs w:val="21"/>
          <w:highlight w:val="none"/>
        </w:rPr>
      </w:pPr>
    </w:p>
    <w:p w14:paraId="3A64ADC0">
      <w:pPr>
        <w:ind w:left="420"/>
        <w:rPr>
          <w:rFonts w:hint="eastAsia" w:ascii="宋体" w:hAnsi="宋体" w:cs="宋体"/>
          <w:color w:val="auto"/>
          <w:sz w:val="21"/>
          <w:szCs w:val="21"/>
          <w:highlight w:val="none"/>
        </w:rPr>
      </w:pPr>
    </w:p>
    <w:p w14:paraId="720072CD">
      <w:pPr>
        <w:ind w:left="420"/>
        <w:rPr>
          <w:rFonts w:hint="eastAsia" w:cs="宋体"/>
          <w:b/>
          <w:color w:val="auto"/>
          <w:sz w:val="21"/>
          <w:szCs w:val="21"/>
          <w:highlight w:val="none"/>
        </w:rPr>
      </w:pPr>
    </w:p>
    <w:p w14:paraId="5F32B629">
      <w:pPr>
        <w:pStyle w:val="9"/>
        <w:spacing w:line="360" w:lineRule="auto"/>
        <w:rPr>
          <w:b/>
          <w:bCs/>
          <w:color w:val="auto"/>
          <w:sz w:val="21"/>
          <w:szCs w:val="21"/>
          <w:highlight w:val="none"/>
        </w:rPr>
      </w:pPr>
      <w:r>
        <w:rPr>
          <w:rFonts w:hint="eastAsia"/>
          <w:b/>
          <w:bCs/>
          <w:color w:val="auto"/>
          <w:sz w:val="21"/>
          <w:szCs w:val="21"/>
          <w:highlight w:val="none"/>
        </w:rPr>
        <w:t>投标人（公章）：</w:t>
      </w:r>
    </w:p>
    <w:p w14:paraId="06D8C1EF">
      <w:pPr>
        <w:pStyle w:val="9"/>
        <w:spacing w:line="360" w:lineRule="auto"/>
        <w:rPr>
          <w:b/>
          <w:bCs/>
          <w:color w:val="auto"/>
          <w:sz w:val="21"/>
          <w:szCs w:val="21"/>
          <w:highlight w:val="none"/>
        </w:rPr>
      </w:pPr>
      <w:r>
        <w:rPr>
          <w:rFonts w:hint="eastAsia"/>
          <w:b/>
          <w:bCs/>
          <w:color w:val="auto"/>
          <w:sz w:val="21"/>
          <w:szCs w:val="21"/>
          <w:highlight w:val="none"/>
        </w:rPr>
        <w:t xml:space="preserve">法定代表人或其授权代表签名： </w:t>
      </w:r>
    </w:p>
    <w:p w14:paraId="66F22877">
      <w:pPr>
        <w:spacing w:line="288" w:lineRule="auto"/>
        <w:rPr>
          <w:rFonts w:hint="eastAsia"/>
          <w:b/>
          <w:bCs/>
          <w:color w:val="auto"/>
          <w:sz w:val="21"/>
          <w:szCs w:val="21"/>
          <w:highlight w:val="none"/>
        </w:rPr>
      </w:pPr>
      <w:r>
        <w:rPr>
          <w:rFonts w:hint="eastAsia"/>
          <w:b/>
          <w:bCs/>
          <w:color w:val="auto"/>
          <w:sz w:val="21"/>
          <w:szCs w:val="21"/>
          <w:highlight w:val="none"/>
        </w:rPr>
        <w:t>日期：     年      月    日</w:t>
      </w:r>
    </w:p>
    <w:p w14:paraId="7D87E1F2">
      <w:pPr>
        <w:jc w:val="center"/>
        <w:rPr>
          <w:rFonts w:hint="eastAsia" w:ascii="黑体" w:eastAsia="黑体"/>
          <w:color w:val="auto"/>
          <w:kern w:val="0"/>
          <w:sz w:val="21"/>
          <w:szCs w:val="21"/>
          <w:highlight w:val="none"/>
        </w:rPr>
      </w:pPr>
    </w:p>
    <w:p w14:paraId="795D0397">
      <w:pPr>
        <w:tabs>
          <w:tab w:val="left" w:pos="266"/>
        </w:tabs>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(特别说明：若投标人在投标时未提供《投标文件真实性承诺函》或修改《投标文件真实性承诺函》格式内容，将作投标无效处理。)</w:t>
      </w:r>
    </w:p>
    <w:p w14:paraId="06550FB8">
      <w:pPr>
        <w:pStyle w:val="21"/>
        <w:numPr>
          <w:ilvl w:val="0"/>
          <w:numId w:val="0"/>
        </w:numPr>
        <w:jc w:val="both"/>
        <w:rPr>
          <w:rFonts w:hint="eastAsia" w:ascii="宋体" w:hAnsi="宋体" w:eastAsia="宋体" w:cs="宋体"/>
          <w:b/>
          <w:bCs/>
          <w:color w:val="auto"/>
          <w:sz w:val="21"/>
          <w:szCs w:val="21"/>
          <w:highlight w:val="none"/>
          <w:lang w:val="en-US" w:eastAsia="zh-CN"/>
        </w:rPr>
      </w:pPr>
    </w:p>
    <w:p w14:paraId="50694034">
      <w:pPr>
        <w:pStyle w:val="21"/>
        <w:numPr>
          <w:ilvl w:val="0"/>
          <w:numId w:val="0"/>
        </w:numPr>
        <w:jc w:val="both"/>
        <w:rPr>
          <w:rFonts w:hint="eastAsia" w:ascii="宋体" w:hAnsi="宋体" w:eastAsia="宋体" w:cs="宋体"/>
          <w:b/>
          <w:bCs/>
          <w:color w:val="auto"/>
          <w:sz w:val="21"/>
          <w:szCs w:val="21"/>
          <w:highlight w:val="none"/>
          <w:lang w:val="en-US" w:eastAsia="zh-CN"/>
        </w:rPr>
      </w:pPr>
    </w:p>
    <w:p w14:paraId="310C2928">
      <w:pPr>
        <w:pStyle w:val="21"/>
        <w:numPr>
          <w:ilvl w:val="0"/>
          <w:numId w:val="0"/>
        </w:numPr>
        <w:jc w:val="both"/>
        <w:rPr>
          <w:rFonts w:hint="eastAsia" w:ascii="宋体" w:hAnsi="宋体" w:eastAsia="宋体" w:cs="宋体"/>
          <w:b/>
          <w:bCs/>
          <w:color w:val="auto"/>
          <w:sz w:val="21"/>
          <w:szCs w:val="21"/>
          <w:highlight w:val="none"/>
          <w:lang w:val="en-US" w:eastAsia="zh-CN"/>
        </w:rPr>
      </w:pPr>
    </w:p>
    <w:p w14:paraId="30AD5468">
      <w:pPr>
        <w:pStyle w:val="21"/>
        <w:numPr>
          <w:ilvl w:val="0"/>
          <w:numId w:val="0"/>
        </w:numPr>
        <w:jc w:val="both"/>
        <w:rPr>
          <w:rFonts w:hint="eastAsia" w:ascii="宋体" w:hAnsi="宋体" w:eastAsia="宋体" w:cs="宋体"/>
          <w:b/>
          <w:bCs/>
          <w:color w:val="auto"/>
          <w:sz w:val="21"/>
          <w:szCs w:val="21"/>
          <w:highlight w:val="none"/>
          <w:lang w:val="en-US" w:eastAsia="zh-CN"/>
        </w:rPr>
      </w:pPr>
    </w:p>
    <w:p w14:paraId="0668BBA4">
      <w:pPr>
        <w:pStyle w:val="21"/>
        <w:numPr>
          <w:ilvl w:val="0"/>
          <w:numId w:val="0"/>
        </w:numPr>
        <w:jc w:val="both"/>
        <w:rPr>
          <w:rFonts w:hint="eastAsia" w:ascii="宋体" w:hAnsi="宋体" w:eastAsia="宋体" w:cs="宋体"/>
          <w:b/>
          <w:bCs/>
          <w:color w:val="auto"/>
          <w:sz w:val="21"/>
          <w:szCs w:val="21"/>
          <w:highlight w:val="none"/>
          <w:lang w:val="en-US" w:eastAsia="zh-CN"/>
        </w:rPr>
      </w:pPr>
    </w:p>
    <w:p w14:paraId="6933C53C">
      <w:pPr>
        <w:pStyle w:val="21"/>
        <w:numPr>
          <w:ilvl w:val="0"/>
          <w:numId w:val="0"/>
        </w:numPr>
        <w:jc w:val="both"/>
        <w:rPr>
          <w:rFonts w:hint="eastAsia" w:ascii="宋体" w:hAnsi="宋体" w:eastAsia="宋体" w:cs="宋体"/>
          <w:b/>
          <w:bCs/>
          <w:color w:val="auto"/>
          <w:sz w:val="21"/>
          <w:szCs w:val="21"/>
          <w:highlight w:val="none"/>
          <w:lang w:val="en-US" w:eastAsia="zh-CN"/>
        </w:rPr>
      </w:pPr>
    </w:p>
    <w:p w14:paraId="11CB7BA5">
      <w:pPr>
        <w:pStyle w:val="21"/>
        <w:numPr>
          <w:ilvl w:val="0"/>
          <w:numId w:val="0"/>
        </w:numPr>
        <w:jc w:val="both"/>
        <w:rPr>
          <w:rFonts w:hint="eastAsia" w:ascii="宋体" w:hAnsi="宋体" w:eastAsia="宋体" w:cs="宋体"/>
          <w:b/>
          <w:bCs/>
          <w:color w:val="auto"/>
          <w:sz w:val="21"/>
          <w:szCs w:val="21"/>
          <w:highlight w:val="none"/>
          <w:lang w:val="en-US" w:eastAsia="zh-CN"/>
        </w:rPr>
      </w:pPr>
    </w:p>
    <w:p w14:paraId="04E4AC53">
      <w:pPr>
        <w:pStyle w:val="21"/>
        <w:numPr>
          <w:ilvl w:val="0"/>
          <w:numId w:val="0"/>
        </w:numPr>
        <w:jc w:val="both"/>
        <w:rPr>
          <w:rFonts w:hint="eastAsia" w:ascii="宋体" w:hAnsi="宋体" w:eastAsia="宋体" w:cs="宋体"/>
          <w:b/>
          <w:bCs/>
          <w:color w:val="auto"/>
          <w:sz w:val="21"/>
          <w:szCs w:val="21"/>
          <w:highlight w:val="none"/>
          <w:lang w:val="en-US" w:eastAsia="zh-CN"/>
        </w:rPr>
      </w:pPr>
    </w:p>
    <w:p w14:paraId="6E322A5B">
      <w:pPr>
        <w:pStyle w:val="21"/>
        <w:numPr>
          <w:ilvl w:val="0"/>
          <w:numId w:val="0"/>
        </w:numPr>
        <w:jc w:val="both"/>
        <w:rPr>
          <w:rFonts w:hint="eastAsia" w:ascii="宋体" w:hAnsi="宋体" w:eastAsia="宋体" w:cs="宋体"/>
          <w:b/>
          <w:bCs/>
          <w:color w:val="auto"/>
          <w:sz w:val="21"/>
          <w:szCs w:val="21"/>
          <w:highlight w:val="none"/>
          <w:lang w:val="en-US" w:eastAsia="zh-CN"/>
        </w:rPr>
      </w:pPr>
    </w:p>
    <w:p w14:paraId="4D3BCA15">
      <w:pPr>
        <w:spacing w:line="480" w:lineRule="auto"/>
        <w:jc w:val="center"/>
        <w:outlineLvl w:val="3"/>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七</w:t>
      </w:r>
      <w:r>
        <w:rPr>
          <w:rFonts w:hint="eastAsia" w:ascii="宋体" w:hAnsi="宋体" w:cs="宋体"/>
          <w:b/>
          <w:color w:val="auto"/>
          <w:sz w:val="32"/>
          <w:szCs w:val="32"/>
          <w:highlight w:val="none"/>
        </w:rPr>
        <w:t>、</w:t>
      </w:r>
      <w:r>
        <w:rPr>
          <w:rFonts w:hint="eastAsia" w:ascii="宋体" w:hAnsi="宋体" w:cs="宋体"/>
          <w:b/>
          <w:color w:val="auto"/>
          <w:sz w:val="32"/>
          <w:szCs w:val="32"/>
          <w:highlight w:val="none"/>
          <w:lang w:val="en-US" w:eastAsia="zh-CN"/>
        </w:rPr>
        <w:t>技术规格偏离表</w:t>
      </w:r>
    </w:p>
    <w:p w14:paraId="6E340E45">
      <w:pPr>
        <w:pStyle w:val="9"/>
        <w:spacing w:before="120" w:beforeLines="50" w:after="120" w:afterLines="50"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投标人名称：</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u w:val="none"/>
          <w:lang w:val="en-US" w:eastAsia="zh-CN"/>
        </w:rPr>
        <w:t xml:space="preserve">     </w:t>
      </w:r>
      <w:r>
        <w:rPr>
          <w:rFonts w:hint="eastAsia" w:ascii="宋体" w:hAnsi="宋体" w:eastAsia="宋体" w:cs="宋体"/>
          <w:b/>
          <w:bCs/>
          <w:color w:val="auto"/>
          <w:sz w:val="21"/>
          <w:szCs w:val="21"/>
          <w:highlight w:val="none"/>
          <w:lang w:val="en-US" w:eastAsia="zh-CN"/>
        </w:rPr>
        <w:t>招标</w:t>
      </w:r>
      <w:r>
        <w:rPr>
          <w:rFonts w:hint="eastAsia" w:ascii="宋体" w:hAnsi="宋体" w:eastAsia="宋体" w:cs="宋体"/>
          <w:b/>
          <w:bCs/>
          <w:color w:val="auto"/>
          <w:sz w:val="21"/>
          <w:szCs w:val="21"/>
          <w:highlight w:val="none"/>
        </w:rPr>
        <w:t>编号：</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3E908C58">
      <w:pPr>
        <w:pStyle w:val="21"/>
        <w:numPr>
          <w:ilvl w:val="0"/>
          <w:numId w:val="0"/>
        </w:num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项目</w:t>
      </w:r>
      <w:r>
        <w:rPr>
          <w:rFonts w:hint="eastAsia" w:ascii="宋体" w:hAnsi="宋体" w:eastAsia="宋体" w:cs="宋体"/>
          <w:b/>
          <w:bCs/>
          <w:color w:val="auto"/>
          <w:sz w:val="21"/>
          <w:szCs w:val="21"/>
          <w:highlight w:val="none"/>
        </w:rPr>
        <w:t>名称：</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626"/>
        <w:gridCol w:w="1626"/>
        <w:gridCol w:w="1626"/>
        <w:gridCol w:w="1628"/>
        <w:gridCol w:w="1628"/>
      </w:tblGrid>
      <w:tr w14:paraId="070E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36DAB759">
            <w:pPr>
              <w:pStyle w:val="21"/>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1626" w:type="dxa"/>
          </w:tcPr>
          <w:p w14:paraId="5CC5E183">
            <w:pPr>
              <w:pStyle w:val="21"/>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货物名称</w:t>
            </w:r>
          </w:p>
        </w:tc>
        <w:tc>
          <w:tcPr>
            <w:tcW w:w="1626" w:type="dxa"/>
          </w:tcPr>
          <w:p w14:paraId="49B4F8F4">
            <w:pPr>
              <w:pStyle w:val="21"/>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招标规格</w:t>
            </w:r>
          </w:p>
        </w:tc>
        <w:tc>
          <w:tcPr>
            <w:tcW w:w="1626" w:type="dxa"/>
          </w:tcPr>
          <w:p w14:paraId="5D54A5AD">
            <w:pPr>
              <w:pStyle w:val="21"/>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投标规格</w:t>
            </w:r>
          </w:p>
        </w:tc>
        <w:tc>
          <w:tcPr>
            <w:tcW w:w="1628" w:type="dxa"/>
          </w:tcPr>
          <w:p w14:paraId="3C4FC477">
            <w:pPr>
              <w:pStyle w:val="21"/>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偏离情况</w:t>
            </w:r>
          </w:p>
        </w:tc>
        <w:tc>
          <w:tcPr>
            <w:tcW w:w="1628" w:type="dxa"/>
          </w:tcPr>
          <w:p w14:paraId="169FD325">
            <w:pPr>
              <w:pStyle w:val="21"/>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w:t>
            </w:r>
          </w:p>
        </w:tc>
      </w:tr>
      <w:tr w14:paraId="2470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05BA4E1D">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5B4696B9">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27C40A2F">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706A8EA2">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8" w:type="dxa"/>
          </w:tcPr>
          <w:p w14:paraId="4EF6C343">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8" w:type="dxa"/>
          </w:tcPr>
          <w:p w14:paraId="61966970">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r>
      <w:tr w14:paraId="4BE0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639460FD">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6539F380">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2CF30D5D">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1474FDA6">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8" w:type="dxa"/>
          </w:tcPr>
          <w:p w14:paraId="07E22C7B">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8" w:type="dxa"/>
          </w:tcPr>
          <w:p w14:paraId="122C9DBE">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r>
      <w:tr w14:paraId="69AE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579366CD">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58FB75A3">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63A74722">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2E186629">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8" w:type="dxa"/>
          </w:tcPr>
          <w:p w14:paraId="1B64FC36">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8" w:type="dxa"/>
          </w:tcPr>
          <w:p w14:paraId="0D218F05">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r>
      <w:tr w14:paraId="3573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09047503">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1CDEA855">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6BD665C0">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1E2A8DC5">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8" w:type="dxa"/>
          </w:tcPr>
          <w:p w14:paraId="2B38AD49">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8" w:type="dxa"/>
          </w:tcPr>
          <w:p w14:paraId="305842CA">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r>
      <w:tr w14:paraId="3519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67044122">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59EB7D66">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58D34326">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47D1B5B0">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8" w:type="dxa"/>
          </w:tcPr>
          <w:p w14:paraId="7178E39D">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8" w:type="dxa"/>
          </w:tcPr>
          <w:p w14:paraId="3C5F6D98">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r>
      <w:tr w14:paraId="0FD8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0AAEE06A">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7EDBB06D">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72F8E178">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1E8062A6">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8" w:type="dxa"/>
          </w:tcPr>
          <w:p w14:paraId="1A95C8E6">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8" w:type="dxa"/>
          </w:tcPr>
          <w:p w14:paraId="0E934A07">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r>
      <w:tr w14:paraId="23E6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3B831074">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19EF36ED">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5E25CE99">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25EB1356">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8" w:type="dxa"/>
          </w:tcPr>
          <w:p w14:paraId="1551B74F">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8" w:type="dxa"/>
          </w:tcPr>
          <w:p w14:paraId="0D1E01F5">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r>
      <w:tr w14:paraId="554F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4A1892F7">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28400794">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55DB8701">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4795001C">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8" w:type="dxa"/>
          </w:tcPr>
          <w:p w14:paraId="7555E234">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8" w:type="dxa"/>
          </w:tcPr>
          <w:p w14:paraId="3F1AC04B">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r>
      <w:tr w14:paraId="5527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1E39A3CD">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10189446">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47DD0B7D">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620AA9B9">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8" w:type="dxa"/>
          </w:tcPr>
          <w:p w14:paraId="58960343">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8" w:type="dxa"/>
          </w:tcPr>
          <w:p w14:paraId="6936DE15">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r>
      <w:tr w14:paraId="76353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6F88F93D">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249064C6">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1D511A8D">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4DC0EAFA">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8" w:type="dxa"/>
          </w:tcPr>
          <w:p w14:paraId="1702D6A6">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8" w:type="dxa"/>
          </w:tcPr>
          <w:p w14:paraId="1486C9A1">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r>
      <w:tr w14:paraId="3730F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5EAE0745">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66CD4F7A">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6D2E8BE1">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314A3A16">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8" w:type="dxa"/>
          </w:tcPr>
          <w:p w14:paraId="14A50A4C">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8" w:type="dxa"/>
          </w:tcPr>
          <w:p w14:paraId="7E523905">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r>
      <w:tr w14:paraId="4B0F2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0841BAAE">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73BB0209">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4E6BA958">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10E1BD66">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8" w:type="dxa"/>
          </w:tcPr>
          <w:p w14:paraId="40DCD402">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8" w:type="dxa"/>
          </w:tcPr>
          <w:p w14:paraId="16BE61D1">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r>
      <w:tr w14:paraId="68D0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33655192">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4B5B3CFD">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01CF116A">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408F3E78">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8" w:type="dxa"/>
          </w:tcPr>
          <w:p w14:paraId="50C4FE0F">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8" w:type="dxa"/>
          </w:tcPr>
          <w:p w14:paraId="11462908">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r>
      <w:tr w14:paraId="6E2D7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33F1F5B7">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096DAFB5">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3978F8AD">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552C3408">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8" w:type="dxa"/>
          </w:tcPr>
          <w:p w14:paraId="2E28EFBE">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8" w:type="dxa"/>
          </w:tcPr>
          <w:p w14:paraId="5A48C61B">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r>
      <w:tr w14:paraId="3AC4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0119852D">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56CFAE38">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048FD71B">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37E6E7CD">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8" w:type="dxa"/>
          </w:tcPr>
          <w:p w14:paraId="6AB090D5">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8" w:type="dxa"/>
          </w:tcPr>
          <w:p w14:paraId="37FEB745">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r>
      <w:tr w14:paraId="087E0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18F5D852">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6D0A0474">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55D4DA4C">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6" w:type="dxa"/>
          </w:tcPr>
          <w:p w14:paraId="2DBFAF7B">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8" w:type="dxa"/>
          </w:tcPr>
          <w:p w14:paraId="18C7BE2E">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1628" w:type="dxa"/>
          </w:tcPr>
          <w:p w14:paraId="7BF52A8B">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r>
    </w:tbl>
    <w:p w14:paraId="76252EEB">
      <w:pPr>
        <w:spacing w:line="288" w:lineRule="auto"/>
        <w:ind w:left="630" w:hanging="630" w:hangingChars="300"/>
        <w:jc w:val="left"/>
        <w:rPr>
          <w:rFonts w:hint="eastAsia" w:ascii="宋体" w:hAnsi="宋体" w:cs="宋体"/>
          <w:color w:val="auto"/>
          <w:szCs w:val="28"/>
          <w:highlight w:val="none"/>
        </w:rPr>
      </w:pPr>
      <w:r>
        <w:rPr>
          <w:rFonts w:hint="eastAsia" w:ascii="宋体" w:hAnsi="宋体" w:cs="宋体"/>
          <w:color w:val="auto"/>
          <w:szCs w:val="28"/>
          <w:highlight w:val="none"/>
        </w:rPr>
        <w:t>注：1、本表必须对应招标文件第四章的所有技术条款内容进行填写；</w:t>
      </w:r>
    </w:p>
    <w:p w14:paraId="182EDD34">
      <w:pPr>
        <w:spacing w:line="288" w:lineRule="auto"/>
        <w:ind w:left="630" w:leftChars="200" w:hanging="210" w:hangingChars="100"/>
        <w:jc w:val="left"/>
        <w:rPr>
          <w:rFonts w:hint="eastAsia" w:ascii="宋体" w:hAnsi="宋体" w:cs="宋体"/>
          <w:color w:val="auto"/>
          <w:szCs w:val="28"/>
          <w:highlight w:val="none"/>
        </w:rPr>
      </w:pPr>
      <w:r>
        <w:rPr>
          <w:rFonts w:hint="eastAsia" w:ascii="宋体" w:hAnsi="宋体" w:cs="宋体"/>
          <w:color w:val="auto"/>
          <w:szCs w:val="28"/>
          <w:highlight w:val="none"/>
        </w:rPr>
        <w:t>2、应在“偏离情况”栏内注明“正偏离、或负偏离、或无偏离”。</w:t>
      </w:r>
    </w:p>
    <w:p w14:paraId="13CD4FA5">
      <w:pPr>
        <w:spacing w:line="288" w:lineRule="auto"/>
        <w:ind w:left="630" w:leftChars="200" w:hanging="210" w:hangingChars="100"/>
        <w:jc w:val="left"/>
        <w:rPr>
          <w:rFonts w:hint="eastAsia" w:ascii="宋体" w:hAnsi="宋体" w:cs="宋体"/>
          <w:color w:val="auto"/>
          <w:szCs w:val="28"/>
          <w:highlight w:val="none"/>
        </w:rPr>
      </w:pPr>
    </w:p>
    <w:p w14:paraId="61BAF370">
      <w:pPr>
        <w:pStyle w:val="9"/>
        <w:spacing w:line="360" w:lineRule="auto"/>
        <w:rPr>
          <w:rFonts w:hint="eastAsia"/>
          <w:b/>
          <w:bCs/>
          <w:color w:val="auto"/>
          <w:sz w:val="21"/>
          <w:szCs w:val="21"/>
          <w:highlight w:val="none"/>
        </w:rPr>
      </w:pPr>
    </w:p>
    <w:p w14:paraId="216F2072">
      <w:pPr>
        <w:pStyle w:val="9"/>
        <w:spacing w:line="360" w:lineRule="auto"/>
        <w:rPr>
          <w:b/>
          <w:bCs/>
          <w:color w:val="auto"/>
          <w:sz w:val="21"/>
          <w:szCs w:val="21"/>
          <w:highlight w:val="none"/>
        </w:rPr>
      </w:pPr>
      <w:r>
        <w:rPr>
          <w:rFonts w:hint="eastAsia"/>
          <w:b/>
          <w:bCs/>
          <w:color w:val="auto"/>
          <w:sz w:val="21"/>
          <w:szCs w:val="21"/>
          <w:highlight w:val="none"/>
        </w:rPr>
        <w:t>投标人（公章）：</w:t>
      </w:r>
    </w:p>
    <w:p w14:paraId="6AADC251">
      <w:pPr>
        <w:pStyle w:val="9"/>
        <w:spacing w:line="360" w:lineRule="auto"/>
        <w:rPr>
          <w:b/>
          <w:bCs/>
          <w:color w:val="auto"/>
          <w:sz w:val="21"/>
          <w:szCs w:val="21"/>
          <w:highlight w:val="none"/>
        </w:rPr>
      </w:pPr>
      <w:r>
        <w:rPr>
          <w:rFonts w:hint="eastAsia"/>
          <w:b/>
          <w:bCs/>
          <w:color w:val="auto"/>
          <w:sz w:val="21"/>
          <w:szCs w:val="21"/>
          <w:highlight w:val="none"/>
        </w:rPr>
        <w:t xml:space="preserve">法定代表人或其授权代表签名： </w:t>
      </w:r>
    </w:p>
    <w:p w14:paraId="1C789940">
      <w:pPr>
        <w:spacing w:line="288" w:lineRule="auto"/>
        <w:rPr>
          <w:rFonts w:hint="eastAsia"/>
          <w:b/>
          <w:bCs/>
          <w:color w:val="auto"/>
          <w:sz w:val="21"/>
          <w:szCs w:val="21"/>
          <w:highlight w:val="none"/>
        </w:rPr>
      </w:pPr>
      <w:r>
        <w:rPr>
          <w:rFonts w:hint="eastAsia"/>
          <w:b/>
          <w:bCs/>
          <w:color w:val="auto"/>
          <w:sz w:val="21"/>
          <w:szCs w:val="21"/>
          <w:highlight w:val="none"/>
        </w:rPr>
        <w:t>日期：     年      月    日</w:t>
      </w:r>
    </w:p>
    <w:p w14:paraId="10A1E141">
      <w:pPr>
        <w:spacing w:line="288" w:lineRule="auto"/>
        <w:rPr>
          <w:rFonts w:hint="eastAsia"/>
          <w:b/>
          <w:bCs/>
          <w:color w:val="auto"/>
          <w:sz w:val="21"/>
          <w:szCs w:val="21"/>
          <w:highlight w:val="none"/>
        </w:rPr>
      </w:pPr>
    </w:p>
    <w:p w14:paraId="19420139">
      <w:pPr>
        <w:spacing w:line="288" w:lineRule="auto"/>
        <w:rPr>
          <w:rFonts w:hint="eastAsia"/>
          <w:b/>
          <w:bCs/>
          <w:color w:val="auto"/>
          <w:sz w:val="21"/>
          <w:szCs w:val="21"/>
          <w:highlight w:val="none"/>
        </w:rPr>
      </w:pPr>
    </w:p>
    <w:p w14:paraId="3A33968C">
      <w:pPr>
        <w:spacing w:line="480" w:lineRule="auto"/>
        <w:jc w:val="center"/>
        <w:outlineLvl w:val="3"/>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八</w:t>
      </w:r>
      <w:r>
        <w:rPr>
          <w:rFonts w:hint="eastAsia" w:ascii="宋体" w:hAnsi="宋体" w:cs="宋体"/>
          <w:b/>
          <w:color w:val="auto"/>
          <w:sz w:val="32"/>
          <w:szCs w:val="32"/>
          <w:highlight w:val="none"/>
        </w:rPr>
        <w:t>、</w:t>
      </w:r>
      <w:r>
        <w:rPr>
          <w:rFonts w:hint="eastAsia" w:ascii="宋体" w:hAnsi="宋体" w:cs="宋体"/>
          <w:b/>
          <w:color w:val="auto"/>
          <w:sz w:val="32"/>
          <w:szCs w:val="32"/>
          <w:highlight w:val="none"/>
          <w:lang w:val="en-US" w:eastAsia="zh-CN"/>
        </w:rPr>
        <w:t>商务条款偏离表</w:t>
      </w:r>
    </w:p>
    <w:p w14:paraId="6E28D56F">
      <w:pPr>
        <w:pStyle w:val="9"/>
        <w:spacing w:before="120" w:beforeLines="50" w:after="120" w:afterLines="50"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投标人名称：</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u w:val="none"/>
          <w:lang w:val="en-US" w:eastAsia="zh-CN"/>
        </w:rPr>
        <w:t xml:space="preserve">     </w:t>
      </w:r>
      <w:r>
        <w:rPr>
          <w:rFonts w:hint="eastAsia" w:ascii="宋体" w:hAnsi="宋体" w:eastAsia="宋体" w:cs="宋体"/>
          <w:b/>
          <w:bCs/>
          <w:color w:val="auto"/>
          <w:sz w:val="21"/>
          <w:szCs w:val="21"/>
          <w:highlight w:val="none"/>
          <w:lang w:val="en-US" w:eastAsia="zh-CN"/>
        </w:rPr>
        <w:t>招标</w:t>
      </w:r>
      <w:r>
        <w:rPr>
          <w:rFonts w:hint="eastAsia" w:ascii="宋体" w:hAnsi="宋体" w:eastAsia="宋体" w:cs="宋体"/>
          <w:b/>
          <w:bCs/>
          <w:color w:val="auto"/>
          <w:sz w:val="21"/>
          <w:szCs w:val="21"/>
          <w:highlight w:val="none"/>
        </w:rPr>
        <w:t>编号：</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2013AD8E">
      <w:pPr>
        <w:pStyle w:val="21"/>
        <w:numPr>
          <w:ilvl w:val="0"/>
          <w:numId w:val="0"/>
        </w:numPr>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项目</w:t>
      </w:r>
      <w:r>
        <w:rPr>
          <w:rFonts w:hint="eastAsia" w:ascii="宋体" w:hAnsi="宋体" w:eastAsia="宋体" w:cs="宋体"/>
          <w:b/>
          <w:bCs/>
          <w:color w:val="auto"/>
          <w:sz w:val="21"/>
          <w:szCs w:val="21"/>
          <w:highlight w:val="none"/>
        </w:rPr>
        <w:t>名称：</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2750"/>
        <w:gridCol w:w="2752"/>
        <w:gridCol w:w="1377"/>
        <w:gridCol w:w="1377"/>
      </w:tblGrid>
      <w:tr w14:paraId="4A7D2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14:paraId="4321E100">
            <w:pPr>
              <w:pStyle w:val="21"/>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2750" w:type="dxa"/>
          </w:tcPr>
          <w:p w14:paraId="51DAF859">
            <w:pPr>
              <w:pStyle w:val="21"/>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招标文件的商务条款</w:t>
            </w:r>
          </w:p>
        </w:tc>
        <w:tc>
          <w:tcPr>
            <w:tcW w:w="2752" w:type="dxa"/>
          </w:tcPr>
          <w:p w14:paraId="4E4110B4">
            <w:pPr>
              <w:pStyle w:val="21"/>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投标文件响应的商务条款</w:t>
            </w:r>
          </w:p>
        </w:tc>
        <w:tc>
          <w:tcPr>
            <w:tcW w:w="1377" w:type="dxa"/>
          </w:tcPr>
          <w:p w14:paraId="6875FA07">
            <w:pPr>
              <w:pStyle w:val="21"/>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响应/偏离</w:t>
            </w:r>
          </w:p>
        </w:tc>
        <w:tc>
          <w:tcPr>
            <w:tcW w:w="1377" w:type="dxa"/>
          </w:tcPr>
          <w:p w14:paraId="6DB4E5B4">
            <w:pPr>
              <w:pStyle w:val="21"/>
              <w:numPr>
                <w:ilvl w:val="0"/>
                <w:numId w:val="0"/>
              </w:numPr>
              <w:spacing w:line="360" w:lineRule="auto"/>
              <w:jc w:val="center"/>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w:t>
            </w:r>
          </w:p>
        </w:tc>
      </w:tr>
      <w:tr w14:paraId="1542C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14:paraId="30B6F2C4">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0" w:type="dxa"/>
          </w:tcPr>
          <w:p w14:paraId="019C52F8">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2" w:type="dxa"/>
          </w:tcPr>
          <w:p w14:paraId="4660E5B1">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4" w:type="dxa"/>
            <w:gridSpan w:val="2"/>
          </w:tcPr>
          <w:p w14:paraId="673323D6">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r>
      <w:tr w14:paraId="606FB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14:paraId="4950DD6B">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0" w:type="dxa"/>
          </w:tcPr>
          <w:p w14:paraId="30A08609">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2" w:type="dxa"/>
          </w:tcPr>
          <w:p w14:paraId="62759258">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4" w:type="dxa"/>
            <w:gridSpan w:val="2"/>
          </w:tcPr>
          <w:p w14:paraId="0525385F">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r>
      <w:tr w14:paraId="4F9E9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14:paraId="3658B6AE">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0" w:type="dxa"/>
          </w:tcPr>
          <w:p w14:paraId="36A16FD4">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2" w:type="dxa"/>
          </w:tcPr>
          <w:p w14:paraId="5D52FC70">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4" w:type="dxa"/>
            <w:gridSpan w:val="2"/>
          </w:tcPr>
          <w:p w14:paraId="7C3E9383">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r>
      <w:tr w14:paraId="6219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14:paraId="26866F2F">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0" w:type="dxa"/>
          </w:tcPr>
          <w:p w14:paraId="6859691B">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2" w:type="dxa"/>
          </w:tcPr>
          <w:p w14:paraId="33B3A094">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4" w:type="dxa"/>
            <w:gridSpan w:val="2"/>
          </w:tcPr>
          <w:p w14:paraId="629B1BE0">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r>
      <w:tr w14:paraId="682A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14:paraId="11E6CBF7">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0" w:type="dxa"/>
          </w:tcPr>
          <w:p w14:paraId="56F1A7E8">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2" w:type="dxa"/>
          </w:tcPr>
          <w:p w14:paraId="0B9468D9">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4" w:type="dxa"/>
            <w:gridSpan w:val="2"/>
          </w:tcPr>
          <w:p w14:paraId="3188B5C0">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r>
      <w:tr w14:paraId="4254C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14:paraId="50623728">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0" w:type="dxa"/>
          </w:tcPr>
          <w:p w14:paraId="70887D3D">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2" w:type="dxa"/>
          </w:tcPr>
          <w:p w14:paraId="49080224">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4" w:type="dxa"/>
            <w:gridSpan w:val="2"/>
          </w:tcPr>
          <w:p w14:paraId="27203E41">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r>
      <w:tr w14:paraId="5B7A9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14:paraId="2B738F27">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0" w:type="dxa"/>
          </w:tcPr>
          <w:p w14:paraId="0BCA7E7C">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2" w:type="dxa"/>
          </w:tcPr>
          <w:p w14:paraId="0C98FE8B">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4" w:type="dxa"/>
            <w:gridSpan w:val="2"/>
          </w:tcPr>
          <w:p w14:paraId="4C75AB91">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r>
      <w:tr w14:paraId="5238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14:paraId="59D73D42">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0" w:type="dxa"/>
          </w:tcPr>
          <w:p w14:paraId="5569ACF2">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2" w:type="dxa"/>
          </w:tcPr>
          <w:p w14:paraId="5B544BC5">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4" w:type="dxa"/>
            <w:gridSpan w:val="2"/>
          </w:tcPr>
          <w:p w14:paraId="39DE07B1">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r>
      <w:tr w14:paraId="6EC2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14:paraId="6C0FB83D">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0" w:type="dxa"/>
          </w:tcPr>
          <w:p w14:paraId="3952D317">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2" w:type="dxa"/>
          </w:tcPr>
          <w:p w14:paraId="141744F1">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4" w:type="dxa"/>
            <w:gridSpan w:val="2"/>
          </w:tcPr>
          <w:p w14:paraId="04CEBE1A">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r>
      <w:tr w14:paraId="1BD53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14:paraId="576D4BFE">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0" w:type="dxa"/>
          </w:tcPr>
          <w:p w14:paraId="760CBAF1">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2" w:type="dxa"/>
          </w:tcPr>
          <w:p w14:paraId="421F81F3">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4" w:type="dxa"/>
            <w:gridSpan w:val="2"/>
          </w:tcPr>
          <w:p w14:paraId="4C989091">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r>
      <w:tr w14:paraId="481E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14:paraId="3092CCDF">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0" w:type="dxa"/>
          </w:tcPr>
          <w:p w14:paraId="4C346CA1">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2" w:type="dxa"/>
          </w:tcPr>
          <w:p w14:paraId="65F659B6">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4" w:type="dxa"/>
            <w:gridSpan w:val="2"/>
          </w:tcPr>
          <w:p w14:paraId="02FC14D4">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r>
      <w:tr w14:paraId="0FB06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14:paraId="364B6084">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0" w:type="dxa"/>
          </w:tcPr>
          <w:p w14:paraId="2A56CD4D">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2" w:type="dxa"/>
          </w:tcPr>
          <w:p w14:paraId="750FCDE2">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4" w:type="dxa"/>
            <w:gridSpan w:val="2"/>
          </w:tcPr>
          <w:p w14:paraId="77DA4713">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r>
      <w:tr w14:paraId="51126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14:paraId="34839B0E">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0" w:type="dxa"/>
          </w:tcPr>
          <w:p w14:paraId="14E49C44">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2" w:type="dxa"/>
          </w:tcPr>
          <w:p w14:paraId="20235D34">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4" w:type="dxa"/>
            <w:gridSpan w:val="2"/>
          </w:tcPr>
          <w:p w14:paraId="024EDE59">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r>
      <w:tr w14:paraId="3BB3B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14:paraId="11EB3C2E">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0" w:type="dxa"/>
          </w:tcPr>
          <w:p w14:paraId="1E20924C">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2" w:type="dxa"/>
          </w:tcPr>
          <w:p w14:paraId="45AA916B">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4" w:type="dxa"/>
            <w:gridSpan w:val="2"/>
          </w:tcPr>
          <w:p w14:paraId="14B93403">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r>
      <w:tr w14:paraId="2D35F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14:paraId="5603F606">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0" w:type="dxa"/>
          </w:tcPr>
          <w:p w14:paraId="774678A1">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2" w:type="dxa"/>
          </w:tcPr>
          <w:p w14:paraId="01281D0D">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4" w:type="dxa"/>
            <w:gridSpan w:val="2"/>
          </w:tcPr>
          <w:p w14:paraId="2E6F50FD">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r>
      <w:tr w14:paraId="1E5CA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14:paraId="6C5165F4">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0" w:type="dxa"/>
          </w:tcPr>
          <w:p w14:paraId="40E45A04">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2" w:type="dxa"/>
          </w:tcPr>
          <w:p w14:paraId="43CA3E5D">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c>
          <w:tcPr>
            <w:tcW w:w="2754" w:type="dxa"/>
            <w:gridSpan w:val="2"/>
          </w:tcPr>
          <w:p w14:paraId="3946D1C7">
            <w:pPr>
              <w:pStyle w:val="21"/>
              <w:numPr>
                <w:ilvl w:val="0"/>
                <w:numId w:val="0"/>
              </w:numPr>
              <w:spacing w:line="360" w:lineRule="auto"/>
              <w:jc w:val="center"/>
              <w:rPr>
                <w:rFonts w:hint="eastAsia" w:ascii="宋体" w:hAnsi="宋体" w:eastAsia="宋体" w:cs="宋体"/>
                <w:color w:val="auto"/>
                <w:sz w:val="21"/>
                <w:szCs w:val="21"/>
                <w:highlight w:val="none"/>
                <w:vertAlign w:val="baseline"/>
                <w:lang w:val="en-US" w:eastAsia="zh-CN"/>
              </w:rPr>
            </w:pPr>
          </w:p>
        </w:tc>
      </w:tr>
    </w:tbl>
    <w:p w14:paraId="619E6D9C">
      <w:pPr>
        <w:spacing w:line="288" w:lineRule="auto"/>
        <w:ind w:left="630" w:hanging="630" w:hangingChars="300"/>
        <w:jc w:val="left"/>
        <w:rPr>
          <w:rFonts w:hint="eastAsia" w:ascii="宋体" w:hAnsi="宋体" w:cs="宋体"/>
          <w:color w:val="auto"/>
          <w:szCs w:val="28"/>
          <w:highlight w:val="none"/>
        </w:rPr>
      </w:pPr>
      <w:r>
        <w:rPr>
          <w:rFonts w:hint="eastAsia" w:ascii="宋体" w:hAnsi="宋体" w:cs="宋体"/>
          <w:color w:val="auto"/>
          <w:szCs w:val="28"/>
          <w:highlight w:val="none"/>
        </w:rPr>
        <w:t>注：1、本表必须对应招标文件第四章的所有</w:t>
      </w:r>
      <w:r>
        <w:rPr>
          <w:rFonts w:hint="eastAsia" w:ascii="宋体" w:hAnsi="宋体" w:cs="宋体"/>
          <w:color w:val="auto"/>
          <w:szCs w:val="28"/>
          <w:highlight w:val="none"/>
          <w:lang w:val="en-US" w:eastAsia="zh-CN"/>
        </w:rPr>
        <w:t>商务</w:t>
      </w:r>
      <w:r>
        <w:rPr>
          <w:rFonts w:hint="eastAsia" w:ascii="宋体" w:hAnsi="宋体" w:cs="宋体"/>
          <w:color w:val="auto"/>
          <w:szCs w:val="28"/>
          <w:highlight w:val="none"/>
        </w:rPr>
        <w:t>条款内容进行填写；</w:t>
      </w:r>
    </w:p>
    <w:p w14:paraId="2D2DF4EF">
      <w:pPr>
        <w:spacing w:line="288" w:lineRule="auto"/>
        <w:ind w:left="630" w:leftChars="200" w:hanging="210" w:hangingChars="100"/>
        <w:jc w:val="left"/>
        <w:rPr>
          <w:rFonts w:hint="eastAsia" w:ascii="宋体" w:hAnsi="宋体" w:cs="宋体"/>
          <w:color w:val="auto"/>
          <w:szCs w:val="28"/>
          <w:highlight w:val="none"/>
        </w:rPr>
      </w:pPr>
      <w:r>
        <w:rPr>
          <w:rFonts w:hint="eastAsia" w:ascii="宋体" w:hAnsi="宋体" w:cs="宋体"/>
          <w:color w:val="auto"/>
          <w:szCs w:val="28"/>
          <w:highlight w:val="none"/>
        </w:rPr>
        <w:t>2、应在“偏离情况”栏内注明“正偏离、或负偏离、或无偏离”。</w:t>
      </w:r>
    </w:p>
    <w:p w14:paraId="31CB9D44">
      <w:pPr>
        <w:spacing w:line="288" w:lineRule="auto"/>
        <w:ind w:left="630" w:leftChars="200" w:hanging="210" w:hangingChars="100"/>
        <w:jc w:val="left"/>
        <w:rPr>
          <w:rFonts w:hint="eastAsia" w:ascii="宋体" w:hAnsi="宋体" w:cs="宋体"/>
          <w:color w:val="auto"/>
          <w:szCs w:val="28"/>
          <w:highlight w:val="none"/>
        </w:rPr>
      </w:pPr>
    </w:p>
    <w:p w14:paraId="3F6D1AB9">
      <w:pPr>
        <w:pStyle w:val="9"/>
        <w:spacing w:line="360" w:lineRule="auto"/>
        <w:rPr>
          <w:rFonts w:hint="eastAsia"/>
          <w:b/>
          <w:bCs/>
          <w:color w:val="auto"/>
          <w:sz w:val="21"/>
          <w:szCs w:val="21"/>
          <w:highlight w:val="none"/>
        </w:rPr>
      </w:pPr>
    </w:p>
    <w:p w14:paraId="79633B46">
      <w:pPr>
        <w:pStyle w:val="9"/>
        <w:spacing w:line="360" w:lineRule="auto"/>
        <w:rPr>
          <w:b/>
          <w:bCs/>
          <w:color w:val="auto"/>
          <w:sz w:val="21"/>
          <w:szCs w:val="21"/>
          <w:highlight w:val="none"/>
        </w:rPr>
      </w:pPr>
      <w:r>
        <w:rPr>
          <w:rFonts w:hint="eastAsia"/>
          <w:b/>
          <w:bCs/>
          <w:color w:val="auto"/>
          <w:sz w:val="21"/>
          <w:szCs w:val="21"/>
          <w:highlight w:val="none"/>
        </w:rPr>
        <w:t>投标人（公章）：</w:t>
      </w:r>
    </w:p>
    <w:p w14:paraId="0ACE7715">
      <w:pPr>
        <w:pStyle w:val="9"/>
        <w:spacing w:line="360" w:lineRule="auto"/>
        <w:rPr>
          <w:b/>
          <w:bCs/>
          <w:color w:val="auto"/>
          <w:sz w:val="21"/>
          <w:szCs w:val="21"/>
          <w:highlight w:val="none"/>
        </w:rPr>
      </w:pPr>
      <w:r>
        <w:rPr>
          <w:rFonts w:hint="eastAsia"/>
          <w:b/>
          <w:bCs/>
          <w:color w:val="auto"/>
          <w:sz w:val="21"/>
          <w:szCs w:val="21"/>
          <w:highlight w:val="none"/>
        </w:rPr>
        <w:t xml:space="preserve">法定代表人或其授权代表签名： </w:t>
      </w:r>
    </w:p>
    <w:p w14:paraId="62E0E207">
      <w:pPr>
        <w:spacing w:line="288" w:lineRule="auto"/>
        <w:rPr>
          <w:rFonts w:hint="eastAsia"/>
          <w:b/>
          <w:bCs/>
          <w:color w:val="auto"/>
          <w:sz w:val="21"/>
          <w:szCs w:val="21"/>
          <w:highlight w:val="none"/>
        </w:rPr>
      </w:pPr>
      <w:r>
        <w:rPr>
          <w:rFonts w:hint="eastAsia"/>
          <w:b/>
          <w:bCs/>
          <w:color w:val="auto"/>
          <w:sz w:val="21"/>
          <w:szCs w:val="21"/>
          <w:highlight w:val="none"/>
        </w:rPr>
        <w:t>日期：     年      月    日</w:t>
      </w:r>
    </w:p>
    <w:p w14:paraId="683280CD">
      <w:pPr>
        <w:spacing w:line="288" w:lineRule="auto"/>
        <w:rPr>
          <w:rFonts w:hint="eastAsia"/>
          <w:b/>
          <w:bCs/>
          <w:color w:val="auto"/>
          <w:sz w:val="21"/>
          <w:szCs w:val="21"/>
          <w:highlight w:val="none"/>
        </w:rPr>
      </w:pPr>
    </w:p>
    <w:p w14:paraId="20B4C0EC">
      <w:pPr>
        <w:spacing w:line="288" w:lineRule="auto"/>
        <w:rPr>
          <w:rFonts w:hint="eastAsia"/>
          <w:b/>
          <w:bCs/>
          <w:color w:val="auto"/>
          <w:sz w:val="21"/>
          <w:szCs w:val="21"/>
          <w:highlight w:val="none"/>
        </w:rPr>
      </w:pPr>
    </w:p>
    <w:p w14:paraId="2D5BDF06">
      <w:pPr>
        <w:pStyle w:val="21"/>
        <w:numPr>
          <w:ilvl w:val="0"/>
          <w:numId w:val="13"/>
        </w:numPr>
        <w:ind w:leftChars="0"/>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lang w:val="en-US" w:eastAsia="zh-CN"/>
        </w:rPr>
        <w:t>商务评审文件</w:t>
      </w:r>
    </w:p>
    <w:p w14:paraId="7A26D573">
      <w:pPr>
        <w:spacing w:line="360" w:lineRule="auto"/>
        <w:jc w:val="center"/>
        <w:outlineLvl w:val="3"/>
        <w:rPr>
          <w:rFonts w:hint="eastAsia" w:ascii="宋体" w:hAnsi="宋体" w:cs="宋体"/>
          <w:b/>
          <w:color w:val="auto"/>
          <w:sz w:val="32"/>
          <w:szCs w:val="32"/>
          <w:highlight w:val="none"/>
        </w:rPr>
      </w:pPr>
      <w:r>
        <w:rPr>
          <w:rFonts w:hint="eastAsia" w:ascii="宋体" w:hAnsi="宋体" w:cs="宋体"/>
          <w:b/>
          <w:color w:val="auto"/>
          <w:sz w:val="32"/>
          <w:szCs w:val="32"/>
          <w:highlight w:val="none"/>
        </w:rPr>
        <w:t>一、企业诚信声明与承诺</w:t>
      </w:r>
    </w:p>
    <w:p w14:paraId="6639BCFA">
      <w:pPr>
        <w:spacing w:line="400" w:lineRule="exact"/>
        <w:rPr>
          <w:rFonts w:ascii="宋体" w:hAnsi="宋体" w:cs="宋体"/>
          <w:b/>
          <w:bCs/>
          <w:color w:val="auto"/>
          <w:sz w:val="21"/>
          <w:szCs w:val="21"/>
          <w:highlight w:val="none"/>
        </w:rPr>
      </w:pPr>
      <w:r>
        <w:rPr>
          <w:rFonts w:hint="eastAsia" w:ascii="宋体" w:hAnsi="宋体"/>
          <w:b/>
          <w:bCs/>
          <w:color w:val="auto"/>
          <w:sz w:val="21"/>
          <w:szCs w:val="21"/>
          <w:highlight w:val="none"/>
          <w:lang w:val="en-US" w:eastAsia="zh-CN"/>
        </w:rPr>
        <w:t>深圳市第二实验学校明远高中</w:t>
      </w:r>
      <w:r>
        <w:rPr>
          <w:rFonts w:hint="eastAsia" w:ascii="宋体" w:hAnsi="宋体"/>
          <w:b/>
          <w:color w:val="auto"/>
          <w:sz w:val="21"/>
          <w:szCs w:val="21"/>
          <w:highlight w:val="none"/>
        </w:rPr>
        <w:t>：</w:t>
      </w:r>
    </w:p>
    <w:p w14:paraId="53DB1FF1">
      <w:pPr>
        <w:spacing w:line="400" w:lineRule="exact"/>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我公司参与贵</w:t>
      </w:r>
      <w:r>
        <w:rPr>
          <w:rFonts w:hint="eastAsia" w:ascii="宋体" w:hAnsi="宋体"/>
          <w:color w:val="auto"/>
          <w:sz w:val="21"/>
          <w:szCs w:val="21"/>
          <w:highlight w:val="none"/>
          <w:lang w:val="en-US" w:eastAsia="zh-CN"/>
        </w:rPr>
        <w:t>单位</w:t>
      </w:r>
      <w:r>
        <w:rPr>
          <w:rFonts w:hint="eastAsia" w:ascii="宋体" w:hAnsi="宋体"/>
          <w:color w:val="auto"/>
          <w:sz w:val="21"/>
          <w:szCs w:val="21"/>
          <w:highlight w:val="none"/>
        </w:rPr>
        <w:t>组织的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）投标，现就企业诚信作如下声明与承诺：</w:t>
      </w:r>
    </w:p>
    <w:p w14:paraId="00E82B1F">
      <w:pPr>
        <w:spacing w:line="400" w:lineRule="exact"/>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我司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14:paraId="00AD0025">
      <w:pPr>
        <w:spacing w:line="400" w:lineRule="exact"/>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我司对上述内容的真实性负责。如有虚假，将依法承担相应责任。</w:t>
      </w:r>
    </w:p>
    <w:p w14:paraId="566FA791">
      <w:pPr>
        <w:spacing w:line="400" w:lineRule="exact"/>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特此声明与承诺！</w:t>
      </w:r>
    </w:p>
    <w:p w14:paraId="65D41641">
      <w:pPr>
        <w:spacing w:line="400" w:lineRule="exact"/>
        <w:ind w:firstLine="420" w:firstLineChars="200"/>
        <w:jc w:val="left"/>
        <w:rPr>
          <w:rFonts w:ascii="宋体" w:hAnsi="宋体"/>
          <w:color w:val="auto"/>
          <w:sz w:val="21"/>
          <w:szCs w:val="21"/>
          <w:highlight w:val="none"/>
        </w:rPr>
      </w:pPr>
    </w:p>
    <w:p w14:paraId="2E4DC6FD">
      <w:pPr>
        <w:jc w:val="left"/>
        <w:rPr>
          <w:rFonts w:ascii="宋体" w:hAnsi="宋体"/>
          <w:color w:val="auto"/>
          <w:sz w:val="21"/>
          <w:szCs w:val="21"/>
          <w:highlight w:val="none"/>
        </w:rPr>
      </w:pPr>
    </w:p>
    <w:p w14:paraId="614054B9">
      <w:pPr>
        <w:spacing w:line="460" w:lineRule="exact"/>
        <w:ind w:firstLine="420" w:firstLineChars="200"/>
        <w:rPr>
          <w:rFonts w:ascii="宋体" w:hAnsi="宋体" w:cs="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cs="宋体"/>
          <w:color w:val="auto"/>
          <w:sz w:val="21"/>
          <w:szCs w:val="21"/>
          <w:highlight w:val="none"/>
        </w:rPr>
        <w:t xml:space="preserve">  承诺单位（公司）盖章：</w:t>
      </w:r>
    </w:p>
    <w:p w14:paraId="5CCAA7F0">
      <w:pPr>
        <w:tabs>
          <w:tab w:val="left" w:pos="5580"/>
        </w:tabs>
        <w:spacing w:line="460" w:lineRule="exact"/>
        <w:rPr>
          <w:rFonts w:ascii="Arial" w:hAnsi="Arial" w:cs="Arial"/>
          <w:b/>
          <w:color w:val="auto"/>
          <w:sz w:val="21"/>
          <w:szCs w:val="21"/>
          <w:highlight w:val="none"/>
        </w:rPr>
      </w:pPr>
      <w:r>
        <w:rPr>
          <w:rFonts w:hint="eastAsia" w:ascii="宋体" w:hAnsi="宋体" w:cs="宋体"/>
          <w:color w:val="auto"/>
          <w:sz w:val="21"/>
          <w:szCs w:val="21"/>
          <w:highlight w:val="none"/>
        </w:rPr>
        <w:t xml:space="preserve">                                 年   月   日 </w:t>
      </w:r>
    </w:p>
    <w:p w14:paraId="586C7E4B">
      <w:pPr>
        <w:spacing w:line="300" w:lineRule="auto"/>
        <w:jc w:val="left"/>
        <w:rPr>
          <w:rFonts w:ascii="宋体" w:hAnsi="宋体"/>
          <w:color w:val="auto"/>
          <w:sz w:val="21"/>
          <w:szCs w:val="21"/>
          <w:highlight w:val="none"/>
        </w:rPr>
      </w:pPr>
    </w:p>
    <w:p w14:paraId="1D3316D5">
      <w:pPr>
        <w:spacing w:line="300" w:lineRule="auto"/>
        <w:jc w:val="left"/>
        <w:rPr>
          <w:rFonts w:ascii="宋体" w:hAnsi="宋体"/>
          <w:color w:val="auto"/>
          <w:sz w:val="21"/>
          <w:szCs w:val="21"/>
          <w:highlight w:val="none"/>
        </w:rPr>
      </w:pPr>
    </w:p>
    <w:p w14:paraId="73BFC2B9">
      <w:pPr>
        <w:pStyle w:val="9"/>
        <w:spacing w:line="300" w:lineRule="auto"/>
        <w:jc w:val="left"/>
        <w:rPr>
          <w:rFonts w:hint="eastAsia" w:hAnsi="宋体" w:cs="宋体"/>
          <w:color w:val="auto"/>
          <w:sz w:val="21"/>
          <w:szCs w:val="21"/>
          <w:highlight w:val="none"/>
        </w:rPr>
      </w:pPr>
      <w:r>
        <w:rPr>
          <w:rFonts w:hAnsi="宋体"/>
          <w:color w:val="auto"/>
          <w:sz w:val="21"/>
          <w:szCs w:val="21"/>
          <w:highlight w:val="none"/>
        </w:rPr>
        <w:t>注</w:t>
      </w:r>
      <w:r>
        <w:rPr>
          <w:rFonts w:hint="eastAsia" w:hAnsi="宋体"/>
          <w:color w:val="auto"/>
          <w:sz w:val="21"/>
          <w:szCs w:val="21"/>
          <w:highlight w:val="none"/>
        </w:rPr>
        <w:t>：近三年内，如投标人有任何违法违规、受惩罚和禁止、不良信用等记录，必须列明记载，并附网络截图（加盖公章）</w:t>
      </w:r>
      <w:r>
        <w:rPr>
          <w:rFonts w:hint="eastAsia" w:hAnsi="宋体" w:cs="宋体"/>
          <w:color w:val="auto"/>
          <w:sz w:val="21"/>
          <w:szCs w:val="21"/>
          <w:highlight w:val="none"/>
        </w:rPr>
        <w:t>。</w:t>
      </w:r>
    </w:p>
    <w:p w14:paraId="29B6733A">
      <w:pPr>
        <w:spacing w:line="288" w:lineRule="auto"/>
        <w:rPr>
          <w:rFonts w:hint="eastAsia"/>
          <w:b/>
          <w:bCs/>
          <w:color w:val="auto"/>
          <w:sz w:val="21"/>
          <w:szCs w:val="21"/>
          <w:highlight w:val="none"/>
        </w:rPr>
      </w:pPr>
    </w:p>
    <w:p w14:paraId="0DD2095C">
      <w:pPr>
        <w:pStyle w:val="21"/>
        <w:numPr>
          <w:ilvl w:val="0"/>
          <w:numId w:val="0"/>
        </w:numPr>
        <w:jc w:val="both"/>
        <w:rPr>
          <w:rFonts w:hint="eastAsia" w:ascii="宋体" w:hAnsi="宋体" w:eastAsia="宋体" w:cs="宋体"/>
          <w:color w:val="auto"/>
          <w:sz w:val="21"/>
          <w:szCs w:val="21"/>
          <w:highlight w:val="none"/>
          <w:lang w:val="en-US" w:eastAsia="zh-CN"/>
        </w:rPr>
      </w:pPr>
    </w:p>
    <w:p w14:paraId="6DD012AD">
      <w:pPr>
        <w:pStyle w:val="21"/>
        <w:numPr>
          <w:ilvl w:val="0"/>
          <w:numId w:val="0"/>
        </w:numPr>
        <w:jc w:val="both"/>
        <w:rPr>
          <w:rFonts w:hint="eastAsia" w:ascii="宋体" w:hAnsi="宋体" w:eastAsia="宋体" w:cs="宋体"/>
          <w:color w:val="auto"/>
          <w:sz w:val="21"/>
          <w:szCs w:val="21"/>
          <w:highlight w:val="none"/>
          <w:lang w:val="en-US" w:eastAsia="zh-CN"/>
        </w:rPr>
      </w:pPr>
    </w:p>
    <w:p w14:paraId="73126E2A">
      <w:pPr>
        <w:pStyle w:val="21"/>
        <w:numPr>
          <w:ilvl w:val="0"/>
          <w:numId w:val="0"/>
        </w:numPr>
        <w:jc w:val="both"/>
        <w:rPr>
          <w:rFonts w:hint="eastAsia" w:ascii="宋体" w:hAnsi="宋体" w:eastAsia="宋体" w:cs="宋体"/>
          <w:color w:val="auto"/>
          <w:sz w:val="21"/>
          <w:szCs w:val="21"/>
          <w:highlight w:val="none"/>
          <w:lang w:val="en-US" w:eastAsia="zh-CN"/>
        </w:rPr>
      </w:pPr>
    </w:p>
    <w:p w14:paraId="43906344">
      <w:pPr>
        <w:pStyle w:val="21"/>
        <w:numPr>
          <w:ilvl w:val="0"/>
          <w:numId w:val="0"/>
        </w:numPr>
        <w:jc w:val="both"/>
        <w:rPr>
          <w:rFonts w:hint="eastAsia" w:ascii="宋体" w:hAnsi="宋体" w:eastAsia="宋体" w:cs="宋体"/>
          <w:color w:val="auto"/>
          <w:sz w:val="21"/>
          <w:szCs w:val="21"/>
          <w:highlight w:val="none"/>
          <w:lang w:val="en-US" w:eastAsia="zh-CN"/>
        </w:rPr>
      </w:pPr>
    </w:p>
    <w:p w14:paraId="4189532C">
      <w:pPr>
        <w:pStyle w:val="21"/>
        <w:numPr>
          <w:ilvl w:val="0"/>
          <w:numId w:val="0"/>
        </w:numPr>
        <w:jc w:val="both"/>
        <w:rPr>
          <w:rFonts w:hint="eastAsia" w:ascii="宋体" w:hAnsi="宋体" w:eastAsia="宋体" w:cs="宋体"/>
          <w:color w:val="auto"/>
          <w:sz w:val="21"/>
          <w:szCs w:val="21"/>
          <w:highlight w:val="none"/>
          <w:lang w:val="en-US" w:eastAsia="zh-CN"/>
        </w:rPr>
      </w:pPr>
    </w:p>
    <w:p w14:paraId="60967AFB">
      <w:pPr>
        <w:pStyle w:val="21"/>
        <w:numPr>
          <w:ilvl w:val="0"/>
          <w:numId w:val="0"/>
        </w:numPr>
        <w:jc w:val="both"/>
        <w:rPr>
          <w:rFonts w:hint="eastAsia" w:ascii="宋体" w:hAnsi="宋体" w:eastAsia="宋体" w:cs="宋体"/>
          <w:color w:val="auto"/>
          <w:sz w:val="21"/>
          <w:szCs w:val="21"/>
          <w:highlight w:val="none"/>
          <w:lang w:val="en-US" w:eastAsia="zh-CN"/>
        </w:rPr>
      </w:pPr>
    </w:p>
    <w:p w14:paraId="0ACCAC13">
      <w:pPr>
        <w:pStyle w:val="21"/>
        <w:numPr>
          <w:ilvl w:val="0"/>
          <w:numId w:val="0"/>
        </w:numPr>
        <w:jc w:val="both"/>
        <w:rPr>
          <w:rFonts w:hint="eastAsia" w:ascii="宋体" w:hAnsi="宋体" w:eastAsia="宋体" w:cs="宋体"/>
          <w:color w:val="auto"/>
          <w:sz w:val="21"/>
          <w:szCs w:val="21"/>
          <w:highlight w:val="none"/>
          <w:lang w:val="en-US" w:eastAsia="zh-CN"/>
        </w:rPr>
      </w:pPr>
    </w:p>
    <w:p w14:paraId="1842BA16">
      <w:pPr>
        <w:pStyle w:val="21"/>
        <w:numPr>
          <w:ilvl w:val="0"/>
          <w:numId w:val="0"/>
        </w:numPr>
        <w:jc w:val="both"/>
        <w:rPr>
          <w:rFonts w:hint="eastAsia" w:ascii="宋体" w:hAnsi="宋体" w:eastAsia="宋体" w:cs="宋体"/>
          <w:color w:val="auto"/>
          <w:sz w:val="21"/>
          <w:szCs w:val="21"/>
          <w:highlight w:val="none"/>
          <w:lang w:val="en-US" w:eastAsia="zh-CN"/>
        </w:rPr>
      </w:pPr>
    </w:p>
    <w:p w14:paraId="72BF868D">
      <w:pPr>
        <w:pStyle w:val="21"/>
        <w:numPr>
          <w:ilvl w:val="0"/>
          <w:numId w:val="0"/>
        </w:numPr>
        <w:jc w:val="both"/>
        <w:rPr>
          <w:rFonts w:hint="eastAsia" w:ascii="宋体" w:hAnsi="宋体" w:eastAsia="宋体" w:cs="宋体"/>
          <w:color w:val="auto"/>
          <w:sz w:val="21"/>
          <w:szCs w:val="21"/>
          <w:highlight w:val="none"/>
          <w:lang w:val="en-US" w:eastAsia="zh-CN"/>
        </w:rPr>
      </w:pPr>
    </w:p>
    <w:p w14:paraId="5E5A3B26">
      <w:pPr>
        <w:pStyle w:val="21"/>
        <w:numPr>
          <w:ilvl w:val="0"/>
          <w:numId w:val="0"/>
        </w:numPr>
        <w:jc w:val="both"/>
        <w:rPr>
          <w:rFonts w:hint="eastAsia" w:ascii="宋体" w:hAnsi="宋体" w:eastAsia="宋体" w:cs="宋体"/>
          <w:color w:val="auto"/>
          <w:sz w:val="21"/>
          <w:szCs w:val="21"/>
          <w:highlight w:val="none"/>
          <w:lang w:val="en-US" w:eastAsia="zh-CN"/>
        </w:rPr>
      </w:pPr>
    </w:p>
    <w:p w14:paraId="0B4D6CA5">
      <w:pPr>
        <w:pStyle w:val="21"/>
        <w:numPr>
          <w:ilvl w:val="0"/>
          <w:numId w:val="13"/>
        </w:numPr>
        <w:ind w:leftChars="0"/>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lang w:val="en-US" w:eastAsia="zh-CN"/>
        </w:rPr>
        <w:t>技术评审文件</w:t>
      </w:r>
    </w:p>
    <w:p w14:paraId="7E84A5CB">
      <w:pPr>
        <w:spacing w:line="360" w:lineRule="auto"/>
        <w:jc w:val="center"/>
        <w:outlineLvl w:val="3"/>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一</w:t>
      </w:r>
      <w:r>
        <w:rPr>
          <w:rFonts w:hint="eastAsia" w:ascii="宋体" w:hAnsi="宋体" w:eastAsia="宋体" w:cs="宋体"/>
          <w:b/>
          <w:color w:val="auto"/>
          <w:sz w:val="32"/>
          <w:szCs w:val="32"/>
          <w:highlight w:val="none"/>
        </w:rPr>
        <w:t>、招标文件要求的或投标人认为需要补充的技术评审文件</w:t>
      </w:r>
    </w:p>
    <w:p w14:paraId="26E6059D">
      <w:pPr>
        <w:pStyle w:val="21"/>
        <w:numPr>
          <w:ilvl w:val="0"/>
          <w:numId w:val="0"/>
        </w:num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（格式自拟）</w:t>
      </w:r>
    </w:p>
    <w:p w14:paraId="22F0C170">
      <w:pPr>
        <w:pStyle w:val="21"/>
        <w:numPr>
          <w:ilvl w:val="0"/>
          <w:numId w:val="0"/>
        </w:numPr>
        <w:jc w:val="center"/>
        <w:rPr>
          <w:rFonts w:hint="eastAsia" w:ascii="宋体" w:hAnsi="宋体" w:eastAsia="宋体" w:cs="宋体"/>
          <w:b/>
          <w:bCs/>
          <w:color w:val="auto"/>
          <w:sz w:val="32"/>
          <w:szCs w:val="32"/>
          <w:highlight w:val="none"/>
        </w:rPr>
      </w:pPr>
    </w:p>
    <w:p w14:paraId="4B2C2F57">
      <w:pPr>
        <w:pStyle w:val="21"/>
        <w:numPr>
          <w:ilvl w:val="0"/>
          <w:numId w:val="0"/>
        </w:numPr>
        <w:jc w:val="center"/>
        <w:rPr>
          <w:rFonts w:hint="eastAsia" w:ascii="宋体" w:hAnsi="宋体" w:eastAsia="宋体" w:cs="宋体"/>
          <w:b/>
          <w:bCs/>
          <w:color w:val="auto"/>
          <w:sz w:val="32"/>
          <w:szCs w:val="32"/>
          <w:highlight w:val="none"/>
        </w:rPr>
      </w:pPr>
    </w:p>
    <w:p w14:paraId="52D99130">
      <w:pPr>
        <w:pStyle w:val="21"/>
        <w:numPr>
          <w:ilvl w:val="0"/>
          <w:numId w:val="0"/>
        </w:numPr>
        <w:jc w:val="center"/>
        <w:rPr>
          <w:rFonts w:hint="eastAsia" w:ascii="宋体" w:hAnsi="宋体" w:eastAsia="宋体" w:cs="宋体"/>
          <w:b/>
          <w:bCs/>
          <w:color w:val="auto"/>
          <w:sz w:val="32"/>
          <w:szCs w:val="32"/>
          <w:highlight w:val="none"/>
        </w:rPr>
      </w:pPr>
    </w:p>
    <w:p w14:paraId="0318612C">
      <w:pPr>
        <w:pStyle w:val="21"/>
        <w:numPr>
          <w:ilvl w:val="0"/>
          <w:numId w:val="0"/>
        </w:numPr>
        <w:jc w:val="center"/>
        <w:rPr>
          <w:rFonts w:hint="eastAsia" w:ascii="宋体" w:hAnsi="宋体" w:eastAsia="宋体" w:cs="宋体"/>
          <w:b/>
          <w:bCs/>
          <w:color w:val="auto"/>
          <w:sz w:val="32"/>
          <w:szCs w:val="32"/>
          <w:highlight w:val="none"/>
        </w:rPr>
      </w:pPr>
    </w:p>
    <w:p w14:paraId="05A71D9C">
      <w:pPr>
        <w:pStyle w:val="21"/>
        <w:numPr>
          <w:ilvl w:val="0"/>
          <w:numId w:val="0"/>
        </w:numPr>
        <w:jc w:val="center"/>
        <w:rPr>
          <w:rFonts w:hint="eastAsia" w:ascii="宋体" w:hAnsi="宋体" w:eastAsia="宋体" w:cs="宋体"/>
          <w:b/>
          <w:bCs/>
          <w:color w:val="auto"/>
          <w:sz w:val="32"/>
          <w:szCs w:val="32"/>
          <w:highlight w:val="none"/>
        </w:rPr>
      </w:pPr>
    </w:p>
    <w:p w14:paraId="3120C558">
      <w:pPr>
        <w:pStyle w:val="21"/>
        <w:numPr>
          <w:ilvl w:val="0"/>
          <w:numId w:val="0"/>
        </w:numPr>
        <w:jc w:val="center"/>
        <w:rPr>
          <w:rFonts w:hint="eastAsia" w:ascii="宋体" w:hAnsi="宋体" w:eastAsia="宋体" w:cs="宋体"/>
          <w:b/>
          <w:bCs/>
          <w:color w:val="auto"/>
          <w:sz w:val="32"/>
          <w:szCs w:val="32"/>
          <w:highlight w:val="none"/>
        </w:rPr>
      </w:pPr>
    </w:p>
    <w:p w14:paraId="62FA36D1">
      <w:pPr>
        <w:pStyle w:val="21"/>
        <w:numPr>
          <w:ilvl w:val="0"/>
          <w:numId w:val="0"/>
        </w:numPr>
        <w:jc w:val="center"/>
        <w:rPr>
          <w:rFonts w:hint="eastAsia" w:ascii="宋体" w:hAnsi="宋体" w:eastAsia="宋体" w:cs="宋体"/>
          <w:b/>
          <w:bCs/>
          <w:color w:val="auto"/>
          <w:sz w:val="32"/>
          <w:szCs w:val="32"/>
          <w:highlight w:val="none"/>
        </w:rPr>
      </w:pPr>
    </w:p>
    <w:p w14:paraId="65DAD448">
      <w:pPr>
        <w:pStyle w:val="21"/>
        <w:numPr>
          <w:ilvl w:val="0"/>
          <w:numId w:val="0"/>
        </w:numPr>
        <w:jc w:val="center"/>
        <w:rPr>
          <w:rFonts w:hint="eastAsia" w:ascii="宋体" w:hAnsi="宋体" w:eastAsia="宋体" w:cs="宋体"/>
          <w:b/>
          <w:bCs/>
          <w:color w:val="auto"/>
          <w:sz w:val="32"/>
          <w:szCs w:val="32"/>
          <w:highlight w:val="none"/>
        </w:rPr>
      </w:pPr>
    </w:p>
    <w:p w14:paraId="5EB4BA34">
      <w:pPr>
        <w:pStyle w:val="21"/>
        <w:numPr>
          <w:ilvl w:val="0"/>
          <w:numId w:val="0"/>
        </w:numPr>
        <w:jc w:val="center"/>
        <w:rPr>
          <w:rFonts w:hint="eastAsia" w:ascii="宋体" w:hAnsi="宋体" w:eastAsia="宋体" w:cs="宋体"/>
          <w:b/>
          <w:bCs/>
          <w:color w:val="auto"/>
          <w:sz w:val="32"/>
          <w:szCs w:val="32"/>
          <w:highlight w:val="none"/>
        </w:rPr>
      </w:pPr>
    </w:p>
    <w:p w14:paraId="26C280EF">
      <w:pPr>
        <w:pStyle w:val="21"/>
        <w:numPr>
          <w:ilvl w:val="0"/>
          <w:numId w:val="0"/>
        </w:numPr>
        <w:jc w:val="center"/>
        <w:rPr>
          <w:rFonts w:hint="eastAsia" w:ascii="宋体" w:hAnsi="宋体" w:eastAsia="宋体" w:cs="宋体"/>
          <w:b/>
          <w:bCs/>
          <w:color w:val="auto"/>
          <w:sz w:val="32"/>
          <w:szCs w:val="32"/>
          <w:highlight w:val="none"/>
        </w:rPr>
      </w:pPr>
    </w:p>
    <w:p w14:paraId="263397D6">
      <w:pPr>
        <w:pStyle w:val="21"/>
        <w:numPr>
          <w:ilvl w:val="0"/>
          <w:numId w:val="0"/>
        </w:numPr>
        <w:jc w:val="center"/>
        <w:rPr>
          <w:rFonts w:hint="eastAsia" w:ascii="宋体" w:hAnsi="宋体" w:eastAsia="宋体" w:cs="宋体"/>
          <w:b/>
          <w:bCs/>
          <w:color w:val="auto"/>
          <w:sz w:val="32"/>
          <w:szCs w:val="32"/>
          <w:highlight w:val="none"/>
        </w:rPr>
      </w:pPr>
    </w:p>
    <w:p w14:paraId="216F0239">
      <w:pPr>
        <w:pStyle w:val="21"/>
        <w:numPr>
          <w:ilvl w:val="0"/>
          <w:numId w:val="0"/>
        </w:numPr>
        <w:jc w:val="center"/>
        <w:rPr>
          <w:rFonts w:hint="eastAsia" w:ascii="宋体" w:hAnsi="宋体" w:eastAsia="宋体" w:cs="宋体"/>
          <w:b/>
          <w:bCs/>
          <w:color w:val="auto"/>
          <w:sz w:val="32"/>
          <w:szCs w:val="32"/>
          <w:highlight w:val="none"/>
        </w:rPr>
      </w:pPr>
    </w:p>
    <w:p w14:paraId="3F2B7E06">
      <w:pPr>
        <w:pStyle w:val="21"/>
        <w:numPr>
          <w:ilvl w:val="0"/>
          <w:numId w:val="0"/>
        </w:numPr>
        <w:jc w:val="center"/>
        <w:rPr>
          <w:rFonts w:hint="eastAsia" w:ascii="宋体" w:hAnsi="宋体" w:eastAsia="宋体" w:cs="宋体"/>
          <w:b/>
          <w:bCs/>
          <w:color w:val="auto"/>
          <w:sz w:val="32"/>
          <w:szCs w:val="32"/>
          <w:highlight w:val="none"/>
        </w:rPr>
      </w:pPr>
    </w:p>
    <w:p w14:paraId="04020D6C">
      <w:pPr>
        <w:pStyle w:val="21"/>
        <w:numPr>
          <w:ilvl w:val="0"/>
          <w:numId w:val="0"/>
        </w:numPr>
        <w:jc w:val="center"/>
        <w:rPr>
          <w:rFonts w:hint="eastAsia" w:ascii="宋体" w:hAnsi="宋体" w:eastAsia="宋体" w:cs="宋体"/>
          <w:b/>
          <w:bCs/>
          <w:color w:val="auto"/>
          <w:sz w:val="32"/>
          <w:szCs w:val="32"/>
          <w:highlight w:val="none"/>
        </w:rPr>
      </w:pPr>
    </w:p>
    <w:p w14:paraId="2C6C6F0A">
      <w:pPr>
        <w:pStyle w:val="21"/>
        <w:numPr>
          <w:ilvl w:val="0"/>
          <w:numId w:val="0"/>
        </w:numPr>
        <w:jc w:val="center"/>
        <w:rPr>
          <w:rFonts w:hint="eastAsia" w:ascii="宋体" w:hAnsi="宋体" w:eastAsia="宋体" w:cs="宋体"/>
          <w:b/>
          <w:bCs/>
          <w:color w:val="auto"/>
          <w:sz w:val="32"/>
          <w:szCs w:val="32"/>
          <w:highlight w:val="none"/>
        </w:rPr>
      </w:pPr>
    </w:p>
    <w:p w14:paraId="4ACFDAAD">
      <w:pPr>
        <w:pStyle w:val="21"/>
        <w:numPr>
          <w:ilvl w:val="0"/>
          <w:numId w:val="0"/>
        </w:numPr>
        <w:jc w:val="center"/>
        <w:rPr>
          <w:rFonts w:hint="eastAsia" w:ascii="宋体" w:hAnsi="宋体" w:eastAsia="宋体" w:cs="宋体"/>
          <w:b/>
          <w:bCs/>
          <w:color w:val="auto"/>
          <w:sz w:val="32"/>
          <w:szCs w:val="32"/>
          <w:highlight w:val="none"/>
        </w:rPr>
      </w:pPr>
    </w:p>
    <w:p w14:paraId="75163321">
      <w:pPr>
        <w:pStyle w:val="21"/>
        <w:numPr>
          <w:ilvl w:val="0"/>
          <w:numId w:val="0"/>
        </w:numPr>
        <w:jc w:val="center"/>
        <w:rPr>
          <w:rFonts w:hint="eastAsia" w:ascii="宋体" w:hAnsi="宋体" w:eastAsia="宋体" w:cs="宋体"/>
          <w:b/>
          <w:bCs/>
          <w:color w:val="auto"/>
          <w:sz w:val="32"/>
          <w:szCs w:val="32"/>
          <w:highlight w:val="none"/>
        </w:rPr>
      </w:pPr>
    </w:p>
    <w:p w14:paraId="36860961">
      <w:pPr>
        <w:pStyle w:val="21"/>
        <w:numPr>
          <w:ilvl w:val="0"/>
          <w:numId w:val="0"/>
        </w:numPr>
        <w:jc w:val="center"/>
        <w:rPr>
          <w:rFonts w:hint="eastAsia" w:ascii="宋体" w:hAnsi="宋体" w:eastAsia="宋体" w:cs="宋体"/>
          <w:b/>
          <w:bCs/>
          <w:color w:val="auto"/>
          <w:sz w:val="32"/>
          <w:szCs w:val="32"/>
          <w:highlight w:val="none"/>
        </w:rPr>
      </w:pPr>
    </w:p>
    <w:p w14:paraId="25071873">
      <w:pPr>
        <w:pStyle w:val="21"/>
        <w:numPr>
          <w:ilvl w:val="0"/>
          <w:numId w:val="0"/>
        </w:numPr>
        <w:jc w:val="center"/>
        <w:rPr>
          <w:rFonts w:hint="eastAsia" w:ascii="宋体" w:hAnsi="宋体" w:eastAsia="宋体" w:cs="宋体"/>
          <w:b/>
          <w:bCs/>
          <w:color w:val="auto"/>
          <w:sz w:val="32"/>
          <w:szCs w:val="32"/>
          <w:highlight w:val="none"/>
        </w:rPr>
      </w:pPr>
    </w:p>
    <w:p w14:paraId="710CC48A">
      <w:pPr>
        <w:pStyle w:val="21"/>
        <w:numPr>
          <w:ilvl w:val="0"/>
          <w:numId w:val="0"/>
        </w:numPr>
        <w:jc w:val="center"/>
        <w:rPr>
          <w:rFonts w:hint="eastAsia" w:ascii="宋体" w:hAnsi="宋体" w:eastAsia="宋体" w:cs="宋体"/>
          <w:b/>
          <w:bCs/>
          <w:color w:val="auto"/>
          <w:sz w:val="32"/>
          <w:szCs w:val="32"/>
          <w:highlight w:val="none"/>
        </w:rPr>
      </w:pPr>
    </w:p>
    <w:p w14:paraId="3C47115A">
      <w:pPr>
        <w:pStyle w:val="21"/>
        <w:numPr>
          <w:ilvl w:val="0"/>
          <w:numId w:val="0"/>
        </w:numPr>
        <w:jc w:val="center"/>
        <w:rPr>
          <w:rFonts w:hint="eastAsia" w:ascii="宋体" w:hAnsi="宋体" w:eastAsia="宋体" w:cs="宋体"/>
          <w:b/>
          <w:bCs/>
          <w:color w:val="auto"/>
          <w:sz w:val="32"/>
          <w:szCs w:val="32"/>
          <w:highlight w:val="none"/>
        </w:rPr>
      </w:pPr>
    </w:p>
    <w:p w14:paraId="55911CC8">
      <w:pPr>
        <w:pStyle w:val="21"/>
        <w:numPr>
          <w:ilvl w:val="0"/>
          <w:numId w:val="0"/>
        </w:numPr>
        <w:jc w:val="center"/>
        <w:rPr>
          <w:rFonts w:hint="eastAsia" w:ascii="宋体" w:hAnsi="宋体" w:eastAsia="宋体" w:cs="宋体"/>
          <w:b/>
          <w:bCs/>
          <w:color w:val="auto"/>
          <w:sz w:val="32"/>
          <w:szCs w:val="32"/>
          <w:highlight w:val="none"/>
        </w:rPr>
      </w:pPr>
    </w:p>
    <w:p w14:paraId="58DEB0D0">
      <w:pPr>
        <w:widowControl/>
        <w:tabs>
          <w:tab w:val="left" w:pos="142"/>
        </w:tabs>
        <w:autoSpaceDE w:val="0"/>
        <w:autoSpaceDN w:val="0"/>
        <w:spacing w:line="312" w:lineRule="auto"/>
        <w:ind w:right="28"/>
        <w:jc w:val="center"/>
        <w:textAlignment w:val="bottom"/>
        <w:outlineLvl w:val="2"/>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附：开标文件格式（独立密封提交）</w:t>
      </w:r>
    </w:p>
    <w:p w14:paraId="3F47060C">
      <w:pPr>
        <w:pStyle w:val="2"/>
        <w:tabs>
          <w:tab w:val="left" w:pos="562"/>
          <w:tab w:val="left" w:pos="3372"/>
          <w:tab w:val="left" w:pos="3653"/>
        </w:tabs>
        <w:ind w:firstLine="482" w:firstLineChars="200"/>
        <w:rPr>
          <w:rFonts w:hint="eastAsia" w:ascii="宋体" w:hAnsi="宋体" w:cs="宋体"/>
          <w:color w:val="auto"/>
          <w:highlight w:val="none"/>
        </w:rPr>
      </w:pPr>
    </w:p>
    <w:p w14:paraId="77D7B313">
      <w:pPr>
        <w:pStyle w:val="2"/>
        <w:tabs>
          <w:tab w:val="left" w:pos="562"/>
          <w:tab w:val="left" w:pos="3372"/>
          <w:tab w:val="left" w:pos="3653"/>
        </w:tabs>
        <w:spacing w:line="312" w:lineRule="auto"/>
        <w:ind w:firstLine="1405" w:firstLineChars="500"/>
        <w:rPr>
          <w:rFonts w:ascii="宋体" w:hAnsi="宋体" w:cs="宋体"/>
          <w:color w:val="auto"/>
          <w:sz w:val="28"/>
          <w:szCs w:val="28"/>
          <w:highlight w:val="none"/>
        </w:rPr>
      </w:pPr>
      <w:r>
        <w:rPr>
          <w:rFonts w:hint="eastAsia" w:ascii="宋体" w:hAnsi="宋体" w:cs="宋体"/>
          <w:color w:val="auto"/>
          <w:sz w:val="28"/>
          <w:szCs w:val="28"/>
          <w:highlight w:val="none"/>
        </w:rPr>
        <w:t>1、投标一览表</w:t>
      </w:r>
    </w:p>
    <w:p w14:paraId="3D5B8E14">
      <w:pPr>
        <w:pStyle w:val="2"/>
        <w:tabs>
          <w:tab w:val="left" w:pos="562"/>
          <w:tab w:val="left" w:pos="3372"/>
          <w:tab w:val="left" w:pos="3653"/>
        </w:tabs>
        <w:spacing w:line="312" w:lineRule="auto"/>
        <w:ind w:firstLine="1405" w:firstLineChars="500"/>
        <w:rPr>
          <w:rFonts w:ascii="宋体" w:hAnsi="宋体" w:cs="宋体"/>
          <w:color w:val="auto"/>
          <w:sz w:val="28"/>
          <w:szCs w:val="28"/>
          <w:highlight w:val="none"/>
        </w:rPr>
      </w:pPr>
      <w:r>
        <w:rPr>
          <w:rFonts w:hint="eastAsia" w:ascii="宋体" w:hAnsi="宋体" w:cs="宋体"/>
          <w:color w:val="auto"/>
          <w:sz w:val="28"/>
          <w:szCs w:val="28"/>
          <w:highlight w:val="none"/>
        </w:rPr>
        <w:t>2、法定代表人证明书</w:t>
      </w:r>
    </w:p>
    <w:p w14:paraId="7CD110BE">
      <w:pPr>
        <w:pStyle w:val="2"/>
        <w:tabs>
          <w:tab w:val="left" w:pos="562"/>
          <w:tab w:val="left" w:pos="3372"/>
          <w:tab w:val="left" w:pos="3653"/>
        </w:tabs>
        <w:spacing w:line="312" w:lineRule="auto"/>
        <w:ind w:firstLine="1405" w:firstLineChars="500"/>
        <w:rPr>
          <w:rFonts w:ascii="宋体" w:hAnsi="宋体" w:cs="宋体"/>
          <w:color w:val="auto"/>
          <w:sz w:val="28"/>
          <w:szCs w:val="28"/>
          <w:highlight w:val="none"/>
        </w:rPr>
      </w:pPr>
      <w:r>
        <w:rPr>
          <w:rFonts w:hint="eastAsia" w:ascii="宋体" w:hAnsi="宋体" w:cs="宋体"/>
          <w:color w:val="auto"/>
          <w:sz w:val="28"/>
          <w:szCs w:val="28"/>
          <w:highlight w:val="none"/>
        </w:rPr>
        <w:t>3、法定代表人授权书</w:t>
      </w:r>
    </w:p>
    <w:p w14:paraId="0E2E4FA9">
      <w:pPr>
        <w:pStyle w:val="2"/>
        <w:tabs>
          <w:tab w:val="left" w:pos="562"/>
          <w:tab w:val="left" w:pos="3372"/>
          <w:tab w:val="left" w:pos="3653"/>
        </w:tabs>
        <w:spacing w:line="312" w:lineRule="auto"/>
        <w:ind w:firstLine="1405" w:firstLineChars="500"/>
        <w:rPr>
          <w:rFonts w:ascii="宋体" w:hAnsi="宋体" w:cs="宋体"/>
          <w:color w:val="auto"/>
          <w:sz w:val="28"/>
          <w:szCs w:val="28"/>
          <w:highlight w:val="none"/>
        </w:rPr>
      </w:pPr>
      <w:r>
        <w:rPr>
          <w:rFonts w:hint="eastAsia" w:ascii="宋体" w:hAnsi="宋体" w:cs="宋体"/>
          <w:color w:val="auto"/>
          <w:sz w:val="28"/>
          <w:szCs w:val="28"/>
          <w:highlight w:val="none"/>
        </w:rPr>
        <w:t>4、USB接口设备存储的投标文件电子文档</w:t>
      </w:r>
    </w:p>
    <w:p w14:paraId="79C8441E">
      <w:pPr>
        <w:pStyle w:val="2"/>
        <w:tabs>
          <w:tab w:val="left" w:pos="562"/>
          <w:tab w:val="left" w:pos="3372"/>
          <w:tab w:val="left" w:pos="3653"/>
        </w:tabs>
        <w:rPr>
          <w:color w:val="auto"/>
          <w:highlight w:val="none"/>
        </w:rPr>
      </w:pPr>
    </w:p>
    <w:p w14:paraId="471E47FC">
      <w:pPr>
        <w:rPr>
          <w:color w:val="auto"/>
          <w:sz w:val="24"/>
          <w:highlight w:val="none"/>
        </w:rPr>
      </w:pPr>
      <w:r>
        <w:rPr>
          <w:rFonts w:hint="eastAsia"/>
          <w:color w:val="auto"/>
          <w:sz w:val="24"/>
          <w:highlight w:val="none"/>
        </w:rPr>
        <w:t>注：开标文件和投标文件（含正本和副本）应分开独立密封包装。具体要求见《投标人须知》</w:t>
      </w:r>
    </w:p>
    <w:p w14:paraId="0A7CC926">
      <w:pPr>
        <w:pStyle w:val="21"/>
        <w:numPr>
          <w:ilvl w:val="0"/>
          <w:numId w:val="0"/>
        </w:numPr>
        <w:jc w:val="center"/>
        <w:rPr>
          <w:rFonts w:hint="eastAsia" w:ascii="宋体" w:hAnsi="宋体" w:eastAsia="宋体" w:cs="宋体"/>
          <w:b/>
          <w:bCs/>
          <w:color w:val="auto"/>
          <w:sz w:val="32"/>
          <w:szCs w:val="32"/>
          <w:highlight w:val="none"/>
          <w:lang w:val="en-US" w:eastAsia="zh-CN"/>
        </w:rPr>
      </w:pPr>
    </w:p>
    <w:p w14:paraId="34AD0693">
      <w:pPr>
        <w:pStyle w:val="21"/>
        <w:numPr>
          <w:ilvl w:val="0"/>
          <w:numId w:val="0"/>
        </w:numPr>
        <w:jc w:val="center"/>
        <w:rPr>
          <w:rFonts w:hint="eastAsia" w:ascii="宋体" w:hAnsi="宋体" w:eastAsia="宋体" w:cs="宋体"/>
          <w:b/>
          <w:bCs/>
          <w:color w:val="auto"/>
          <w:sz w:val="32"/>
          <w:szCs w:val="32"/>
          <w:highlight w:val="none"/>
          <w:lang w:val="en-US" w:eastAsia="zh-CN"/>
        </w:rPr>
      </w:pPr>
    </w:p>
    <w:p w14:paraId="01AB405D">
      <w:pPr>
        <w:pStyle w:val="21"/>
        <w:numPr>
          <w:ilvl w:val="0"/>
          <w:numId w:val="0"/>
        </w:numPr>
        <w:jc w:val="center"/>
        <w:rPr>
          <w:rFonts w:hint="eastAsia" w:ascii="宋体" w:hAnsi="宋体" w:eastAsia="宋体" w:cs="宋体"/>
          <w:b/>
          <w:bCs/>
          <w:color w:val="auto"/>
          <w:sz w:val="32"/>
          <w:szCs w:val="32"/>
          <w:highlight w:val="none"/>
          <w:lang w:val="en-US" w:eastAsia="zh-CN"/>
        </w:rPr>
      </w:pPr>
    </w:p>
    <w:p w14:paraId="156A69C2">
      <w:pPr>
        <w:pStyle w:val="21"/>
        <w:numPr>
          <w:ilvl w:val="0"/>
          <w:numId w:val="0"/>
        </w:numPr>
        <w:jc w:val="center"/>
        <w:rPr>
          <w:rFonts w:hint="eastAsia" w:ascii="宋体" w:hAnsi="宋体" w:eastAsia="宋体" w:cs="宋体"/>
          <w:b/>
          <w:bCs/>
          <w:color w:val="auto"/>
          <w:sz w:val="32"/>
          <w:szCs w:val="32"/>
          <w:highlight w:val="none"/>
          <w:lang w:val="en-US" w:eastAsia="zh-CN"/>
        </w:rPr>
      </w:pPr>
    </w:p>
    <w:p w14:paraId="44F87A1E">
      <w:pPr>
        <w:pStyle w:val="21"/>
        <w:numPr>
          <w:ilvl w:val="0"/>
          <w:numId w:val="0"/>
        </w:numPr>
        <w:jc w:val="center"/>
        <w:rPr>
          <w:rFonts w:hint="eastAsia" w:ascii="宋体" w:hAnsi="宋体" w:eastAsia="宋体" w:cs="宋体"/>
          <w:b/>
          <w:bCs/>
          <w:color w:val="auto"/>
          <w:sz w:val="32"/>
          <w:szCs w:val="32"/>
          <w:highlight w:val="none"/>
          <w:lang w:val="en-US" w:eastAsia="zh-CN"/>
        </w:rPr>
      </w:pPr>
    </w:p>
    <w:p w14:paraId="7025ACB1">
      <w:pPr>
        <w:pStyle w:val="21"/>
        <w:numPr>
          <w:ilvl w:val="0"/>
          <w:numId w:val="0"/>
        </w:numPr>
        <w:jc w:val="center"/>
        <w:rPr>
          <w:rFonts w:hint="eastAsia" w:ascii="宋体" w:hAnsi="宋体" w:eastAsia="宋体" w:cs="宋体"/>
          <w:b/>
          <w:bCs/>
          <w:color w:val="auto"/>
          <w:sz w:val="32"/>
          <w:szCs w:val="32"/>
          <w:highlight w:val="none"/>
          <w:lang w:val="en-US" w:eastAsia="zh-CN"/>
        </w:rPr>
      </w:pPr>
    </w:p>
    <w:p w14:paraId="714CB054">
      <w:pPr>
        <w:pStyle w:val="21"/>
        <w:numPr>
          <w:ilvl w:val="0"/>
          <w:numId w:val="0"/>
        </w:numPr>
        <w:jc w:val="center"/>
        <w:rPr>
          <w:rFonts w:hint="eastAsia" w:ascii="宋体" w:hAnsi="宋体" w:eastAsia="宋体" w:cs="宋体"/>
          <w:b/>
          <w:bCs/>
          <w:color w:val="auto"/>
          <w:sz w:val="32"/>
          <w:szCs w:val="32"/>
          <w:highlight w:val="none"/>
          <w:lang w:val="en-US" w:eastAsia="zh-CN"/>
        </w:rPr>
      </w:pPr>
    </w:p>
    <w:p w14:paraId="06B2BF9E">
      <w:pPr>
        <w:pStyle w:val="21"/>
        <w:numPr>
          <w:ilvl w:val="0"/>
          <w:numId w:val="0"/>
        </w:numPr>
        <w:jc w:val="center"/>
        <w:rPr>
          <w:rFonts w:hint="eastAsia" w:ascii="宋体" w:hAnsi="宋体" w:eastAsia="宋体" w:cs="宋体"/>
          <w:b/>
          <w:bCs/>
          <w:color w:val="auto"/>
          <w:sz w:val="32"/>
          <w:szCs w:val="32"/>
          <w:highlight w:val="none"/>
          <w:lang w:val="en-US" w:eastAsia="zh-CN"/>
        </w:rPr>
      </w:pPr>
    </w:p>
    <w:p w14:paraId="69A171C3">
      <w:pPr>
        <w:pStyle w:val="21"/>
        <w:numPr>
          <w:ilvl w:val="0"/>
          <w:numId w:val="0"/>
        </w:numPr>
        <w:jc w:val="center"/>
        <w:rPr>
          <w:rFonts w:hint="eastAsia" w:ascii="宋体" w:hAnsi="宋体" w:eastAsia="宋体" w:cs="宋体"/>
          <w:b/>
          <w:bCs/>
          <w:color w:val="auto"/>
          <w:sz w:val="32"/>
          <w:szCs w:val="32"/>
          <w:highlight w:val="none"/>
          <w:lang w:val="en-US" w:eastAsia="zh-CN"/>
        </w:rPr>
      </w:pPr>
    </w:p>
    <w:p w14:paraId="2A3139E8">
      <w:pPr>
        <w:pStyle w:val="21"/>
        <w:numPr>
          <w:ilvl w:val="0"/>
          <w:numId w:val="0"/>
        </w:numPr>
        <w:jc w:val="center"/>
        <w:rPr>
          <w:rFonts w:hint="eastAsia" w:ascii="宋体" w:hAnsi="宋体" w:eastAsia="宋体" w:cs="宋体"/>
          <w:b/>
          <w:bCs/>
          <w:color w:val="auto"/>
          <w:sz w:val="32"/>
          <w:szCs w:val="32"/>
          <w:highlight w:val="none"/>
          <w:lang w:val="en-US" w:eastAsia="zh-CN"/>
        </w:rPr>
      </w:pPr>
    </w:p>
    <w:p w14:paraId="2C896B39">
      <w:pPr>
        <w:pStyle w:val="21"/>
        <w:numPr>
          <w:ilvl w:val="0"/>
          <w:numId w:val="0"/>
        </w:numPr>
        <w:jc w:val="center"/>
        <w:rPr>
          <w:rFonts w:hint="eastAsia" w:ascii="宋体" w:hAnsi="宋体" w:eastAsia="宋体" w:cs="宋体"/>
          <w:b/>
          <w:bCs/>
          <w:color w:val="auto"/>
          <w:sz w:val="32"/>
          <w:szCs w:val="32"/>
          <w:highlight w:val="none"/>
          <w:lang w:val="en-US" w:eastAsia="zh-CN"/>
        </w:rPr>
      </w:pPr>
    </w:p>
    <w:p w14:paraId="09704139">
      <w:pPr>
        <w:pStyle w:val="21"/>
        <w:numPr>
          <w:ilvl w:val="0"/>
          <w:numId w:val="0"/>
        </w:numPr>
        <w:jc w:val="center"/>
        <w:rPr>
          <w:rFonts w:hint="eastAsia" w:ascii="宋体" w:hAnsi="宋体" w:eastAsia="宋体" w:cs="宋体"/>
          <w:b/>
          <w:bCs/>
          <w:color w:val="auto"/>
          <w:sz w:val="32"/>
          <w:szCs w:val="32"/>
          <w:highlight w:val="none"/>
          <w:lang w:val="en-US" w:eastAsia="zh-CN"/>
        </w:rPr>
      </w:pPr>
    </w:p>
    <w:p w14:paraId="3F811137">
      <w:pPr>
        <w:pStyle w:val="21"/>
        <w:numPr>
          <w:ilvl w:val="0"/>
          <w:numId w:val="0"/>
        </w:numPr>
        <w:jc w:val="center"/>
        <w:rPr>
          <w:rFonts w:hint="eastAsia" w:ascii="宋体" w:hAnsi="宋体" w:eastAsia="宋体" w:cs="宋体"/>
          <w:b/>
          <w:bCs/>
          <w:color w:val="auto"/>
          <w:sz w:val="32"/>
          <w:szCs w:val="32"/>
          <w:highlight w:val="none"/>
          <w:lang w:val="en-US" w:eastAsia="zh-CN"/>
        </w:rPr>
      </w:pPr>
    </w:p>
    <w:p w14:paraId="469F2170">
      <w:pPr>
        <w:pStyle w:val="21"/>
        <w:numPr>
          <w:ilvl w:val="0"/>
          <w:numId w:val="0"/>
        </w:numPr>
        <w:jc w:val="center"/>
        <w:rPr>
          <w:rFonts w:hint="eastAsia" w:ascii="宋体" w:hAnsi="宋体" w:eastAsia="宋体" w:cs="宋体"/>
          <w:b/>
          <w:bCs/>
          <w:color w:val="auto"/>
          <w:sz w:val="32"/>
          <w:szCs w:val="32"/>
          <w:highlight w:val="none"/>
          <w:lang w:val="en-US" w:eastAsia="zh-CN"/>
        </w:rPr>
      </w:pPr>
    </w:p>
    <w:p w14:paraId="5181F461">
      <w:pPr>
        <w:pStyle w:val="21"/>
        <w:numPr>
          <w:ilvl w:val="0"/>
          <w:numId w:val="0"/>
        </w:numPr>
        <w:jc w:val="center"/>
        <w:rPr>
          <w:rFonts w:hint="eastAsia" w:ascii="宋体" w:hAnsi="宋体" w:eastAsia="宋体" w:cs="宋体"/>
          <w:b/>
          <w:bCs/>
          <w:color w:val="auto"/>
          <w:sz w:val="32"/>
          <w:szCs w:val="32"/>
          <w:highlight w:val="none"/>
          <w:lang w:val="en-US" w:eastAsia="zh-CN"/>
        </w:rPr>
      </w:pPr>
    </w:p>
    <w:p w14:paraId="27E5D132">
      <w:pPr>
        <w:pStyle w:val="21"/>
        <w:numPr>
          <w:ilvl w:val="0"/>
          <w:numId w:val="0"/>
        </w:numPr>
        <w:jc w:val="center"/>
        <w:rPr>
          <w:rFonts w:hint="eastAsia" w:ascii="宋体" w:hAnsi="宋体" w:eastAsia="宋体" w:cs="宋体"/>
          <w:b/>
          <w:bCs/>
          <w:color w:val="auto"/>
          <w:sz w:val="32"/>
          <w:szCs w:val="32"/>
          <w:highlight w:val="none"/>
          <w:lang w:val="en-US" w:eastAsia="zh-CN"/>
        </w:rPr>
      </w:pPr>
    </w:p>
    <w:p w14:paraId="66CC5CB3">
      <w:pPr>
        <w:pStyle w:val="21"/>
        <w:numPr>
          <w:ilvl w:val="0"/>
          <w:numId w:val="0"/>
        </w:numPr>
        <w:jc w:val="center"/>
        <w:rPr>
          <w:rFonts w:hint="eastAsia" w:ascii="宋体" w:hAnsi="宋体" w:eastAsia="宋体" w:cs="宋体"/>
          <w:b/>
          <w:bCs/>
          <w:color w:val="auto"/>
          <w:sz w:val="32"/>
          <w:szCs w:val="32"/>
          <w:highlight w:val="none"/>
          <w:lang w:val="en-US" w:eastAsia="zh-CN"/>
        </w:rPr>
      </w:pPr>
    </w:p>
    <w:p w14:paraId="17F56343">
      <w:pPr>
        <w:pStyle w:val="21"/>
        <w:numPr>
          <w:ilvl w:val="0"/>
          <w:numId w:val="0"/>
        </w:numPr>
        <w:jc w:val="center"/>
        <w:rPr>
          <w:rFonts w:hint="eastAsia" w:ascii="宋体" w:hAnsi="宋体" w:eastAsia="宋体" w:cs="宋体"/>
          <w:b/>
          <w:bCs/>
          <w:color w:val="auto"/>
          <w:sz w:val="32"/>
          <w:szCs w:val="32"/>
          <w:highlight w:val="none"/>
          <w:lang w:val="en-US" w:eastAsia="zh-CN"/>
        </w:rPr>
      </w:pPr>
    </w:p>
    <w:p w14:paraId="6AF643B9">
      <w:pPr>
        <w:pStyle w:val="21"/>
        <w:numPr>
          <w:ilvl w:val="0"/>
          <w:numId w:val="0"/>
        </w:numPr>
        <w:jc w:val="center"/>
        <w:rPr>
          <w:rFonts w:hint="eastAsia" w:ascii="宋体" w:hAnsi="宋体" w:eastAsia="宋体" w:cs="宋体"/>
          <w:b/>
          <w:bCs/>
          <w:color w:val="auto"/>
          <w:sz w:val="32"/>
          <w:szCs w:val="32"/>
          <w:highlight w:val="none"/>
          <w:lang w:val="en-US" w:eastAsia="zh-CN"/>
        </w:rPr>
      </w:pPr>
    </w:p>
    <w:p w14:paraId="2957A214">
      <w:pPr>
        <w:pStyle w:val="21"/>
        <w:numPr>
          <w:ilvl w:val="0"/>
          <w:numId w:val="0"/>
        </w:numPr>
        <w:jc w:val="center"/>
        <w:rPr>
          <w:rFonts w:hint="eastAsia" w:ascii="宋体" w:hAnsi="宋体" w:eastAsia="宋体" w:cs="宋体"/>
          <w:b/>
          <w:bCs/>
          <w:color w:val="auto"/>
          <w:sz w:val="32"/>
          <w:szCs w:val="32"/>
          <w:highlight w:val="none"/>
          <w:lang w:val="en-US" w:eastAsia="zh-CN"/>
        </w:rPr>
      </w:pPr>
    </w:p>
    <w:p w14:paraId="58E73C47">
      <w:pPr>
        <w:pStyle w:val="21"/>
        <w:numPr>
          <w:ilvl w:val="0"/>
          <w:numId w:val="0"/>
        </w:numPr>
        <w:jc w:val="center"/>
        <w:rPr>
          <w:rFonts w:hint="eastAsia" w:ascii="宋体" w:hAnsi="宋体" w:eastAsia="宋体" w:cs="宋体"/>
          <w:b/>
          <w:bCs/>
          <w:color w:val="auto"/>
          <w:sz w:val="32"/>
          <w:szCs w:val="32"/>
          <w:highlight w:val="none"/>
          <w:lang w:val="en-US" w:eastAsia="zh-CN"/>
        </w:rPr>
      </w:pPr>
    </w:p>
    <w:p w14:paraId="675E7DEE">
      <w:pPr>
        <w:widowControl/>
        <w:shd w:val="clear" w:color="auto" w:fill="FFFFFF"/>
        <w:spacing w:line="312" w:lineRule="auto"/>
        <w:jc w:val="center"/>
        <w:outlineLvl w:val="0"/>
        <w:rPr>
          <w:rFonts w:hint="eastAsia" w:ascii="宋体" w:hAnsi="宋体" w:cs="宋体"/>
          <w:b/>
          <w:color w:val="auto"/>
          <w:sz w:val="84"/>
          <w:szCs w:val="84"/>
          <w:highlight w:val="none"/>
        </w:rPr>
      </w:pPr>
      <w:bookmarkStart w:id="18" w:name="_Toc15784"/>
      <w:bookmarkStart w:id="19" w:name="_Toc2463"/>
    </w:p>
    <w:p w14:paraId="49B59290">
      <w:pPr>
        <w:widowControl/>
        <w:shd w:val="clear" w:color="auto" w:fill="FFFFFF"/>
        <w:spacing w:line="312" w:lineRule="auto"/>
        <w:jc w:val="center"/>
        <w:outlineLvl w:val="0"/>
        <w:rPr>
          <w:rFonts w:hint="eastAsia" w:ascii="宋体" w:hAnsi="宋体" w:cs="宋体"/>
          <w:b/>
          <w:color w:val="auto"/>
          <w:sz w:val="84"/>
          <w:szCs w:val="84"/>
          <w:highlight w:val="none"/>
        </w:rPr>
      </w:pPr>
    </w:p>
    <w:bookmarkEnd w:id="18"/>
    <w:bookmarkEnd w:id="19"/>
    <w:p w14:paraId="0E0E9C9B">
      <w:pPr>
        <w:jc w:val="center"/>
        <w:outlineLvl w:val="0"/>
        <w:rPr>
          <w:rFonts w:hint="eastAsia" w:ascii="宋体" w:hAnsi="宋体" w:cs="宋体"/>
          <w:b/>
          <w:color w:val="auto"/>
          <w:sz w:val="52"/>
          <w:szCs w:val="52"/>
          <w:highlight w:val="none"/>
        </w:rPr>
      </w:pPr>
      <w:r>
        <w:rPr>
          <w:rFonts w:hint="eastAsia" w:ascii="宋体" w:hAnsi="宋体" w:cs="宋体"/>
          <w:b/>
          <w:color w:val="auto"/>
          <w:sz w:val="52"/>
          <w:szCs w:val="52"/>
          <w:highlight w:val="none"/>
        </w:rPr>
        <w:t>第</w:t>
      </w:r>
      <w:r>
        <w:rPr>
          <w:rFonts w:hint="eastAsia" w:ascii="宋体" w:hAnsi="宋体" w:cs="宋体"/>
          <w:b/>
          <w:color w:val="auto"/>
          <w:sz w:val="52"/>
          <w:szCs w:val="52"/>
          <w:highlight w:val="none"/>
          <w:lang w:val="en-US" w:eastAsia="zh-CN"/>
        </w:rPr>
        <w:t>二</w:t>
      </w:r>
      <w:r>
        <w:rPr>
          <w:rFonts w:hint="eastAsia" w:ascii="宋体" w:hAnsi="宋体" w:cs="宋体"/>
          <w:b/>
          <w:color w:val="auto"/>
          <w:sz w:val="52"/>
          <w:szCs w:val="52"/>
          <w:highlight w:val="none"/>
        </w:rPr>
        <w:t xml:space="preserve">册  </w:t>
      </w:r>
      <w:r>
        <w:rPr>
          <w:rFonts w:hint="eastAsia" w:ascii="宋体" w:hAnsi="宋体" w:cs="宋体"/>
          <w:b/>
          <w:color w:val="auto"/>
          <w:sz w:val="52"/>
          <w:szCs w:val="52"/>
          <w:highlight w:val="none"/>
          <w:lang w:val="en-US" w:eastAsia="zh-CN"/>
        </w:rPr>
        <w:t>通用</w:t>
      </w:r>
      <w:r>
        <w:rPr>
          <w:rFonts w:hint="eastAsia" w:ascii="宋体" w:hAnsi="宋体" w:cs="宋体"/>
          <w:b/>
          <w:color w:val="auto"/>
          <w:sz w:val="52"/>
          <w:szCs w:val="52"/>
          <w:highlight w:val="none"/>
        </w:rPr>
        <w:t>条款</w:t>
      </w:r>
    </w:p>
    <w:p w14:paraId="7026ED85">
      <w:pPr>
        <w:jc w:val="center"/>
        <w:outlineLvl w:val="0"/>
        <w:rPr>
          <w:rFonts w:hint="eastAsia" w:ascii="宋体" w:hAnsi="宋体" w:cs="宋体"/>
          <w:b/>
          <w:color w:val="auto"/>
          <w:sz w:val="52"/>
          <w:szCs w:val="52"/>
          <w:highlight w:val="none"/>
        </w:rPr>
      </w:pPr>
    </w:p>
    <w:p w14:paraId="00B9E1E4">
      <w:pPr>
        <w:jc w:val="center"/>
        <w:outlineLvl w:val="0"/>
        <w:rPr>
          <w:rFonts w:hint="eastAsia" w:ascii="宋体" w:hAnsi="宋体" w:cs="宋体"/>
          <w:b/>
          <w:color w:val="auto"/>
          <w:sz w:val="52"/>
          <w:szCs w:val="52"/>
          <w:highlight w:val="none"/>
        </w:rPr>
      </w:pPr>
    </w:p>
    <w:p w14:paraId="6ACE4797">
      <w:pPr>
        <w:jc w:val="center"/>
        <w:outlineLvl w:val="0"/>
        <w:rPr>
          <w:rFonts w:hint="eastAsia" w:ascii="宋体" w:hAnsi="宋体" w:cs="宋体"/>
          <w:b/>
          <w:color w:val="auto"/>
          <w:sz w:val="52"/>
          <w:szCs w:val="52"/>
          <w:highlight w:val="none"/>
        </w:rPr>
      </w:pPr>
    </w:p>
    <w:p w14:paraId="7EAFA689">
      <w:pPr>
        <w:jc w:val="center"/>
        <w:outlineLvl w:val="0"/>
        <w:rPr>
          <w:rFonts w:hint="eastAsia" w:ascii="宋体" w:hAnsi="宋体" w:cs="宋体"/>
          <w:b/>
          <w:color w:val="auto"/>
          <w:sz w:val="52"/>
          <w:szCs w:val="52"/>
          <w:highlight w:val="none"/>
        </w:rPr>
      </w:pPr>
    </w:p>
    <w:p w14:paraId="7904F03A">
      <w:pPr>
        <w:jc w:val="center"/>
        <w:outlineLvl w:val="0"/>
        <w:rPr>
          <w:rFonts w:hint="eastAsia" w:ascii="宋体" w:hAnsi="宋体" w:cs="宋体"/>
          <w:b/>
          <w:color w:val="auto"/>
          <w:sz w:val="52"/>
          <w:szCs w:val="52"/>
          <w:highlight w:val="none"/>
        </w:rPr>
      </w:pPr>
    </w:p>
    <w:p w14:paraId="0767B49C">
      <w:pPr>
        <w:jc w:val="center"/>
        <w:outlineLvl w:val="0"/>
        <w:rPr>
          <w:rFonts w:hint="eastAsia" w:ascii="宋体" w:hAnsi="宋体" w:cs="宋体"/>
          <w:b/>
          <w:color w:val="auto"/>
          <w:sz w:val="52"/>
          <w:szCs w:val="52"/>
          <w:highlight w:val="none"/>
        </w:rPr>
      </w:pPr>
    </w:p>
    <w:p w14:paraId="29125EEA">
      <w:pPr>
        <w:jc w:val="center"/>
        <w:outlineLvl w:val="0"/>
        <w:rPr>
          <w:rFonts w:hint="eastAsia" w:ascii="宋体" w:hAnsi="宋体" w:cs="宋体"/>
          <w:b/>
          <w:color w:val="auto"/>
          <w:sz w:val="52"/>
          <w:szCs w:val="52"/>
          <w:highlight w:val="none"/>
        </w:rPr>
      </w:pPr>
    </w:p>
    <w:p w14:paraId="7A884BDF">
      <w:pPr>
        <w:jc w:val="both"/>
        <w:outlineLvl w:val="0"/>
        <w:rPr>
          <w:rFonts w:hint="eastAsia" w:ascii="宋体" w:hAnsi="宋体" w:cs="宋体"/>
          <w:b/>
          <w:bCs/>
          <w:color w:val="auto"/>
          <w:sz w:val="36"/>
          <w:szCs w:val="36"/>
          <w:highlight w:val="none"/>
        </w:rPr>
      </w:pPr>
      <w:bookmarkStart w:id="20" w:name="_Toc25225"/>
      <w:bookmarkStart w:id="21" w:name="_Toc12349"/>
    </w:p>
    <w:p w14:paraId="2F8AA73A">
      <w:pPr>
        <w:jc w:val="center"/>
        <w:outlineLvl w:val="0"/>
        <w:rPr>
          <w:rFonts w:hint="eastAsia" w:ascii="宋体" w:hAnsi="宋体" w:cs="宋体"/>
          <w:b/>
          <w:color w:val="auto"/>
          <w:sz w:val="52"/>
          <w:szCs w:val="52"/>
          <w:highlight w:val="none"/>
        </w:rPr>
      </w:pPr>
      <w:r>
        <w:rPr>
          <w:rFonts w:hint="eastAsia" w:ascii="宋体" w:hAnsi="宋体" w:cs="宋体"/>
          <w:b/>
          <w:bCs/>
          <w:color w:val="auto"/>
          <w:sz w:val="36"/>
          <w:szCs w:val="36"/>
          <w:highlight w:val="none"/>
        </w:rPr>
        <w:t>第一章  投标人须知</w:t>
      </w:r>
      <w:bookmarkEnd w:id="20"/>
      <w:bookmarkEnd w:id="21"/>
    </w:p>
    <w:p w14:paraId="231F8D4C">
      <w:pPr>
        <w:spacing w:before="156" w:beforeLines="50" w:after="156" w:afterLines="50" w:line="360" w:lineRule="auto"/>
        <w:jc w:val="center"/>
        <w:outlineLvl w:val="1"/>
        <w:rPr>
          <w:rFonts w:ascii="宋体" w:hAnsi="宋体" w:cs="宋体"/>
          <w:b/>
          <w:bCs/>
          <w:color w:val="auto"/>
          <w:sz w:val="32"/>
          <w:szCs w:val="32"/>
          <w:highlight w:val="none"/>
        </w:rPr>
      </w:pPr>
      <w:bookmarkStart w:id="22" w:name="_Toc2788"/>
      <w:r>
        <w:rPr>
          <w:rFonts w:hint="eastAsia" w:ascii="宋体" w:hAnsi="宋体" w:cs="宋体"/>
          <w:b/>
          <w:bCs/>
          <w:color w:val="auto"/>
          <w:sz w:val="32"/>
          <w:szCs w:val="32"/>
          <w:highlight w:val="none"/>
        </w:rPr>
        <w:t>一、 总则</w:t>
      </w:r>
      <w:bookmarkEnd w:id="22"/>
    </w:p>
    <w:p w14:paraId="34F615FA">
      <w:pPr>
        <w:numPr>
          <w:ilvl w:val="0"/>
          <w:numId w:val="18"/>
        </w:numPr>
        <w:adjustRightInd w:val="0"/>
        <w:snapToGrid w:val="0"/>
        <w:spacing w:line="360" w:lineRule="auto"/>
        <w:ind w:left="857" w:hanging="857"/>
        <w:outlineLvl w:val="3"/>
        <w:rPr>
          <w:rFonts w:ascii="宋体" w:hAnsi="宋体" w:cs="宋体"/>
          <w:b/>
          <w:bCs/>
          <w:color w:val="auto"/>
          <w:sz w:val="24"/>
          <w:highlight w:val="none"/>
        </w:rPr>
      </w:pPr>
      <w:r>
        <w:rPr>
          <w:rFonts w:hint="eastAsia" w:ascii="宋体" w:hAnsi="宋体" w:cs="宋体"/>
          <w:b/>
          <w:bCs/>
          <w:color w:val="auto"/>
          <w:sz w:val="24"/>
          <w:highlight w:val="none"/>
        </w:rPr>
        <w:t>资金来源及项目概况</w:t>
      </w:r>
    </w:p>
    <w:p w14:paraId="7EF487CB">
      <w:pPr>
        <w:numPr>
          <w:ilvl w:val="0"/>
          <w:numId w:val="19"/>
        </w:numPr>
        <w:adjustRightInd w:val="0"/>
        <w:snapToGrid w:val="0"/>
        <w:spacing w:line="360" w:lineRule="auto"/>
        <w:ind w:left="840" w:hanging="840"/>
        <w:rPr>
          <w:rFonts w:ascii="宋体" w:hAnsi="宋体" w:cs="宋体"/>
          <w:color w:val="auto"/>
          <w:sz w:val="24"/>
          <w:highlight w:val="none"/>
        </w:rPr>
      </w:pPr>
      <w:r>
        <w:rPr>
          <w:rFonts w:hint="eastAsia" w:ascii="宋体" w:hAnsi="宋体" w:cs="宋体"/>
          <w:color w:val="auto"/>
          <w:sz w:val="24"/>
          <w:highlight w:val="none"/>
        </w:rPr>
        <w:t>资金来源及项目概况见</w:t>
      </w:r>
      <w:r>
        <w:rPr>
          <w:rFonts w:hint="eastAsia" w:ascii="宋体" w:hAnsi="宋体" w:cs="宋体"/>
          <w:b/>
          <w:color w:val="auto"/>
          <w:sz w:val="24"/>
          <w:highlight w:val="none"/>
        </w:rPr>
        <w:t>《投标人须知前附表》</w:t>
      </w:r>
      <w:r>
        <w:rPr>
          <w:rFonts w:hint="eastAsia" w:ascii="宋体" w:hAnsi="宋体" w:cs="宋体"/>
          <w:color w:val="auto"/>
          <w:sz w:val="24"/>
          <w:highlight w:val="none"/>
        </w:rPr>
        <w:t>。</w:t>
      </w:r>
    </w:p>
    <w:p w14:paraId="1A5EEF60">
      <w:pPr>
        <w:numPr>
          <w:ilvl w:val="0"/>
          <w:numId w:val="19"/>
        </w:numPr>
        <w:adjustRightInd w:val="0"/>
        <w:snapToGrid w:val="0"/>
        <w:spacing w:line="360" w:lineRule="auto"/>
        <w:ind w:left="840" w:hanging="840"/>
        <w:rPr>
          <w:rFonts w:ascii="宋体" w:hAnsi="宋体" w:cs="宋体"/>
          <w:color w:val="auto"/>
          <w:sz w:val="24"/>
          <w:highlight w:val="none"/>
        </w:rPr>
      </w:pPr>
      <w:r>
        <w:rPr>
          <w:rFonts w:hint="eastAsia" w:ascii="宋体" w:hAnsi="宋体" w:cs="宋体"/>
          <w:color w:val="auto"/>
          <w:sz w:val="24"/>
          <w:highlight w:val="none"/>
        </w:rPr>
        <w:t>采购人信息见</w:t>
      </w:r>
      <w:r>
        <w:rPr>
          <w:rFonts w:hint="eastAsia" w:ascii="宋体" w:hAnsi="宋体" w:cs="宋体"/>
          <w:b/>
          <w:color w:val="auto"/>
          <w:sz w:val="24"/>
          <w:highlight w:val="none"/>
        </w:rPr>
        <w:t>《投标人须知前附表》</w:t>
      </w:r>
      <w:r>
        <w:rPr>
          <w:rFonts w:hint="eastAsia" w:ascii="宋体" w:hAnsi="宋体" w:cs="宋体"/>
          <w:color w:val="auto"/>
          <w:sz w:val="24"/>
          <w:highlight w:val="none"/>
        </w:rPr>
        <w:t>。</w:t>
      </w:r>
    </w:p>
    <w:p w14:paraId="78346CF2">
      <w:pPr>
        <w:numPr>
          <w:ilvl w:val="0"/>
          <w:numId w:val="0"/>
        </w:numPr>
        <w:adjustRightInd w:val="0"/>
        <w:snapToGrid w:val="0"/>
        <w:spacing w:line="360" w:lineRule="auto"/>
        <w:ind w:leftChars="0"/>
        <w:rPr>
          <w:rFonts w:ascii="宋体" w:hAnsi="宋体" w:cs="宋体"/>
          <w:color w:val="auto"/>
          <w:sz w:val="24"/>
          <w:highlight w:val="none"/>
        </w:rPr>
      </w:pPr>
    </w:p>
    <w:p w14:paraId="5C5835CB">
      <w:pPr>
        <w:numPr>
          <w:ilvl w:val="0"/>
          <w:numId w:val="18"/>
        </w:numPr>
        <w:adjustRightInd w:val="0"/>
        <w:snapToGrid w:val="0"/>
        <w:spacing w:line="360" w:lineRule="auto"/>
        <w:ind w:left="857" w:hanging="857"/>
        <w:outlineLvl w:val="3"/>
        <w:rPr>
          <w:rFonts w:ascii="宋体" w:hAnsi="宋体" w:cs="宋体"/>
          <w:b/>
          <w:bCs/>
          <w:color w:val="auto"/>
          <w:sz w:val="24"/>
          <w:highlight w:val="none"/>
        </w:rPr>
      </w:pPr>
      <w:r>
        <w:rPr>
          <w:rFonts w:hint="eastAsia" w:ascii="宋体" w:hAnsi="宋体" w:cs="宋体"/>
          <w:b/>
          <w:bCs/>
          <w:color w:val="auto"/>
          <w:sz w:val="24"/>
          <w:highlight w:val="none"/>
        </w:rPr>
        <w:t>合格的投标人</w:t>
      </w:r>
    </w:p>
    <w:p w14:paraId="630015B3">
      <w:pPr>
        <w:numPr>
          <w:ilvl w:val="0"/>
          <w:numId w:val="20"/>
        </w:numPr>
        <w:tabs>
          <w:tab w:val="left" w:pos="420"/>
        </w:tabs>
        <w:adjustRightInd w:val="0"/>
        <w:snapToGrid w:val="0"/>
        <w:spacing w:line="360" w:lineRule="auto"/>
        <w:ind w:left="857" w:hanging="857"/>
        <w:rPr>
          <w:rFonts w:ascii="宋体" w:hAnsi="宋体" w:cs="宋体"/>
          <w:color w:val="auto"/>
          <w:sz w:val="24"/>
          <w:highlight w:val="none"/>
        </w:rPr>
      </w:pPr>
      <w:r>
        <w:rPr>
          <w:rFonts w:hint="eastAsia" w:ascii="宋体" w:hAnsi="宋体" w:cs="宋体"/>
          <w:color w:val="auto"/>
          <w:sz w:val="24"/>
          <w:highlight w:val="none"/>
        </w:rPr>
        <w:t>投标人须符合</w:t>
      </w:r>
      <w:r>
        <w:rPr>
          <w:rFonts w:hint="eastAsia" w:ascii="宋体" w:hAnsi="宋体" w:cs="宋体"/>
          <w:b/>
          <w:color w:val="auto"/>
          <w:sz w:val="24"/>
          <w:highlight w:val="none"/>
        </w:rPr>
        <w:t>《投标人须知前附表》</w:t>
      </w:r>
      <w:r>
        <w:rPr>
          <w:rFonts w:hint="eastAsia" w:ascii="宋体" w:hAnsi="宋体" w:cs="宋体"/>
          <w:bCs/>
          <w:color w:val="auto"/>
          <w:sz w:val="24"/>
          <w:highlight w:val="none"/>
        </w:rPr>
        <w:t>要求及有关法规规定的其他资格条件</w:t>
      </w:r>
      <w:r>
        <w:rPr>
          <w:rFonts w:hint="eastAsia" w:ascii="宋体" w:hAnsi="宋体" w:cs="宋体"/>
          <w:color w:val="auto"/>
          <w:sz w:val="24"/>
          <w:highlight w:val="none"/>
        </w:rPr>
        <w:t>。</w:t>
      </w:r>
    </w:p>
    <w:p w14:paraId="5419CC97">
      <w:pPr>
        <w:numPr>
          <w:ilvl w:val="0"/>
          <w:numId w:val="20"/>
        </w:numPr>
        <w:tabs>
          <w:tab w:val="left" w:pos="420"/>
        </w:tabs>
        <w:adjustRightInd w:val="0"/>
        <w:snapToGrid w:val="0"/>
        <w:spacing w:line="360" w:lineRule="auto"/>
        <w:ind w:left="857" w:hanging="857"/>
        <w:rPr>
          <w:rFonts w:ascii="宋体" w:hAnsi="宋体" w:cs="宋体"/>
          <w:b/>
          <w:bCs/>
          <w:color w:val="auto"/>
          <w:sz w:val="24"/>
          <w:highlight w:val="none"/>
        </w:rPr>
      </w:pPr>
      <w:r>
        <w:rPr>
          <w:rFonts w:hint="eastAsia" w:ascii="宋体" w:hAnsi="宋体" w:cs="宋体"/>
          <w:b/>
          <w:bCs/>
          <w:color w:val="auto"/>
          <w:sz w:val="24"/>
          <w:highlight w:val="none"/>
        </w:rPr>
        <w:t>联合体投标</w:t>
      </w:r>
    </w:p>
    <w:p w14:paraId="442E2982">
      <w:pPr>
        <w:numPr>
          <w:ilvl w:val="0"/>
          <w:numId w:val="21"/>
        </w:numPr>
        <w:tabs>
          <w:tab w:val="left" w:pos="840"/>
          <w:tab w:val="left" w:pos="850"/>
        </w:tabs>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以下有关联合体投标的条款仅适用于允许投标人组成联合体投标的项目。</w:t>
      </w:r>
    </w:p>
    <w:p w14:paraId="3DA691A6">
      <w:pPr>
        <w:numPr>
          <w:ilvl w:val="0"/>
          <w:numId w:val="21"/>
        </w:numPr>
        <w:tabs>
          <w:tab w:val="left" w:pos="840"/>
          <w:tab w:val="left" w:pos="850"/>
        </w:tabs>
        <w:adjustRightInd w:val="0"/>
        <w:snapToGrid w:val="0"/>
        <w:spacing w:line="360" w:lineRule="auto"/>
        <w:ind w:left="825" w:hanging="825"/>
        <w:rPr>
          <w:rFonts w:ascii="宋体" w:hAnsi="宋体" w:cs="宋体"/>
          <w:color w:val="auto"/>
          <w:sz w:val="24"/>
          <w:highlight w:val="none"/>
        </w:rPr>
      </w:pPr>
      <w:r>
        <w:rPr>
          <w:rFonts w:hint="eastAsia" w:ascii="宋体" w:hAnsi="宋体" w:cs="宋体"/>
          <w:color w:val="auto"/>
          <w:sz w:val="24"/>
          <w:highlight w:val="none"/>
        </w:rPr>
        <w:t>由两个或两个以上的自然人、法人或者其他组织可以组成一个联合体，以一个供应商的身份共同投标时，应符合以下原则：</w:t>
      </w:r>
    </w:p>
    <w:p w14:paraId="2D179B6A">
      <w:pPr>
        <w:tabs>
          <w:tab w:val="left" w:pos="840"/>
          <w:tab w:val="left" w:pos="850"/>
        </w:tabs>
        <w:adjustRightInd w:val="0"/>
        <w:snapToGrid w:val="0"/>
        <w:spacing w:line="360" w:lineRule="auto"/>
        <w:ind w:left="840" w:leftChars="400"/>
        <w:rPr>
          <w:rFonts w:ascii="宋体" w:hAnsi="宋体" w:cs="宋体"/>
          <w:color w:val="auto"/>
          <w:sz w:val="24"/>
          <w:highlight w:val="none"/>
        </w:rPr>
      </w:pPr>
      <w:r>
        <w:rPr>
          <w:rFonts w:hint="eastAsia" w:ascii="宋体" w:hAnsi="宋体" w:cs="宋体"/>
          <w:color w:val="auto"/>
          <w:sz w:val="24"/>
          <w:highlight w:val="none"/>
        </w:rPr>
        <w:t>（1）投标联合体各方参加政府采购活动应当具备下列条件：</w:t>
      </w:r>
    </w:p>
    <w:p w14:paraId="7A6A546D">
      <w:pPr>
        <w:tabs>
          <w:tab w:val="left" w:pos="840"/>
          <w:tab w:val="left" w:pos="850"/>
        </w:tabs>
        <w:adjustRightInd w:val="0"/>
        <w:snapToGrid w:val="0"/>
        <w:spacing w:line="360" w:lineRule="auto"/>
        <w:ind w:left="840" w:leftChars="400"/>
        <w:rPr>
          <w:rFonts w:ascii="宋体" w:hAnsi="宋体" w:cs="宋体"/>
          <w:color w:val="auto"/>
          <w:sz w:val="24"/>
          <w:highlight w:val="none"/>
        </w:rPr>
      </w:pPr>
      <w:r>
        <w:rPr>
          <w:rFonts w:hint="eastAsia" w:ascii="宋体" w:hAnsi="宋体" w:cs="宋体"/>
          <w:color w:val="auto"/>
          <w:sz w:val="24"/>
          <w:highlight w:val="none"/>
        </w:rPr>
        <w:t>A. 具有独立承担民事责任的能力；</w:t>
      </w:r>
    </w:p>
    <w:p w14:paraId="61093AA3">
      <w:pPr>
        <w:tabs>
          <w:tab w:val="left" w:pos="840"/>
          <w:tab w:val="left" w:pos="850"/>
        </w:tabs>
        <w:adjustRightInd w:val="0"/>
        <w:snapToGrid w:val="0"/>
        <w:spacing w:line="360" w:lineRule="auto"/>
        <w:ind w:left="840" w:leftChars="400"/>
        <w:rPr>
          <w:rFonts w:ascii="宋体" w:hAnsi="宋体" w:cs="宋体"/>
          <w:color w:val="auto"/>
          <w:sz w:val="24"/>
          <w:highlight w:val="none"/>
        </w:rPr>
      </w:pPr>
      <w:r>
        <w:rPr>
          <w:rFonts w:hint="eastAsia" w:ascii="宋体" w:hAnsi="宋体" w:cs="宋体"/>
          <w:color w:val="auto"/>
          <w:sz w:val="24"/>
          <w:highlight w:val="none"/>
        </w:rPr>
        <w:t>B. 有良好的商业信誉和健全的财务会计制度；</w:t>
      </w:r>
    </w:p>
    <w:p w14:paraId="0AF12740">
      <w:pPr>
        <w:tabs>
          <w:tab w:val="left" w:pos="840"/>
          <w:tab w:val="left" w:pos="850"/>
        </w:tabs>
        <w:adjustRightInd w:val="0"/>
        <w:snapToGrid w:val="0"/>
        <w:spacing w:line="360" w:lineRule="auto"/>
        <w:ind w:left="840" w:leftChars="400"/>
        <w:rPr>
          <w:rFonts w:ascii="宋体" w:hAnsi="宋体" w:cs="宋体"/>
          <w:color w:val="auto"/>
          <w:sz w:val="24"/>
          <w:highlight w:val="none"/>
        </w:rPr>
      </w:pPr>
      <w:r>
        <w:rPr>
          <w:rFonts w:hint="eastAsia" w:ascii="宋体" w:hAnsi="宋体" w:cs="宋体"/>
          <w:color w:val="auto"/>
          <w:sz w:val="24"/>
          <w:highlight w:val="none"/>
        </w:rPr>
        <w:t>C. 具有履行合同所必需的设备和专业技术能力；</w:t>
      </w:r>
    </w:p>
    <w:p w14:paraId="64CCA2F8">
      <w:pPr>
        <w:tabs>
          <w:tab w:val="left" w:pos="840"/>
          <w:tab w:val="left" w:pos="850"/>
        </w:tabs>
        <w:adjustRightInd w:val="0"/>
        <w:snapToGrid w:val="0"/>
        <w:spacing w:line="360" w:lineRule="auto"/>
        <w:ind w:left="840" w:leftChars="400"/>
        <w:rPr>
          <w:rFonts w:ascii="宋体" w:hAnsi="宋体" w:cs="宋体"/>
          <w:color w:val="auto"/>
          <w:sz w:val="24"/>
          <w:highlight w:val="none"/>
        </w:rPr>
      </w:pPr>
      <w:r>
        <w:rPr>
          <w:rFonts w:hint="eastAsia" w:ascii="宋体" w:hAnsi="宋体" w:cs="宋体"/>
          <w:color w:val="auto"/>
          <w:sz w:val="24"/>
          <w:highlight w:val="none"/>
        </w:rPr>
        <w:t>D. 有依法缴纳税收和社会保障资金的良好记录；</w:t>
      </w:r>
    </w:p>
    <w:p w14:paraId="0E0AA646">
      <w:pPr>
        <w:tabs>
          <w:tab w:val="left" w:pos="840"/>
          <w:tab w:val="left" w:pos="850"/>
        </w:tabs>
        <w:adjustRightInd w:val="0"/>
        <w:snapToGrid w:val="0"/>
        <w:spacing w:line="360" w:lineRule="auto"/>
        <w:ind w:left="840" w:leftChars="400"/>
        <w:rPr>
          <w:rFonts w:ascii="宋体" w:hAnsi="宋体" w:cs="宋体"/>
          <w:color w:val="auto"/>
          <w:sz w:val="24"/>
          <w:highlight w:val="none"/>
        </w:rPr>
      </w:pPr>
      <w:r>
        <w:rPr>
          <w:rFonts w:hint="eastAsia" w:ascii="宋体" w:hAnsi="宋体" w:cs="宋体"/>
          <w:color w:val="auto"/>
          <w:sz w:val="24"/>
          <w:highlight w:val="none"/>
        </w:rPr>
        <w:t>E. 参加政府采购活动前三年内，在经营活动中没有重大违法记录；</w:t>
      </w:r>
    </w:p>
    <w:p w14:paraId="7579E62D">
      <w:pPr>
        <w:tabs>
          <w:tab w:val="left" w:pos="840"/>
          <w:tab w:val="left" w:pos="850"/>
        </w:tabs>
        <w:adjustRightInd w:val="0"/>
        <w:snapToGrid w:val="0"/>
        <w:spacing w:line="360" w:lineRule="auto"/>
        <w:ind w:left="840" w:leftChars="400"/>
        <w:rPr>
          <w:rFonts w:ascii="宋体" w:hAnsi="宋体" w:cs="宋体"/>
          <w:color w:val="auto"/>
          <w:sz w:val="24"/>
          <w:highlight w:val="none"/>
        </w:rPr>
      </w:pPr>
      <w:r>
        <w:rPr>
          <w:rFonts w:hint="eastAsia" w:ascii="宋体" w:hAnsi="宋体" w:cs="宋体"/>
          <w:color w:val="auto"/>
          <w:sz w:val="24"/>
          <w:highlight w:val="none"/>
        </w:rPr>
        <w:t>F. 法律、行政法规规定的其他条件。</w:t>
      </w:r>
    </w:p>
    <w:p w14:paraId="368A797A">
      <w:pPr>
        <w:tabs>
          <w:tab w:val="left" w:pos="840"/>
          <w:tab w:val="left" w:pos="850"/>
        </w:tabs>
        <w:adjustRightInd w:val="0"/>
        <w:snapToGrid w:val="0"/>
        <w:spacing w:line="360" w:lineRule="auto"/>
        <w:ind w:left="840" w:leftChars="400"/>
        <w:rPr>
          <w:rFonts w:ascii="宋体" w:hAnsi="宋体" w:cs="宋体"/>
          <w:color w:val="auto"/>
          <w:sz w:val="24"/>
          <w:highlight w:val="none"/>
        </w:rPr>
      </w:pPr>
      <w:r>
        <w:rPr>
          <w:rFonts w:hint="eastAsia" w:ascii="宋体" w:hAnsi="宋体" w:cs="宋体"/>
          <w:color w:val="auto"/>
          <w:sz w:val="24"/>
          <w:highlight w:val="none"/>
        </w:rPr>
        <w:t>（2）联合体中有同类资质的供应商按照联合体分工承担相同工作的，应当按照资质等级较低的供应商确定资质等级。</w:t>
      </w:r>
    </w:p>
    <w:p w14:paraId="65EE041B">
      <w:pPr>
        <w:tabs>
          <w:tab w:val="left" w:pos="840"/>
          <w:tab w:val="left" w:pos="850"/>
        </w:tabs>
        <w:adjustRightInd w:val="0"/>
        <w:snapToGrid w:val="0"/>
        <w:spacing w:line="360" w:lineRule="auto"/>
        <w:ind w:left="840" w:leftChars="400"/>
        <w:rPr>
          <w:rFonts w:ascii="宋体" w:hAnsi="宋体" w:cs="宋体"/>
          <w:color w:val="auto"/>
          <w:sz w:val="24"/>
          <w:highlight w:val="none"/>
        </w:rPr>
      </w:pPr>
      <w:r>
        <w:rPr>
          <w:rFonts w:hint="eastAsia" w:ascii="宋体" w:hAnsi="宋体" w:cs="宋体"/>
          <w:color w:val="auto"/>
          <w:sz w:val="24"/>
          <w:highlight w:val="none"/>
        </w:rPr>
        <w:t>（3）是否允许联合体参加投标，应当由采购人和采购</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根据项目的实际情况和潜在供应商的数量自主决定，如果决定接受联合体投标则应当在采购公告中明示。</w:t>
      </w:r>
    </w:p>
    <w:p w14:paraId="3B0A0D95">
      <w:pPr>
        <w:tabs>
          <w:tab w:val="left" w:pos="840"/>
          <w:tab w:val="left" w:pos="850"/>
        </w:tabs>
        <w:adjustRightInd w:val="0"/>
        <w:snapToGrid w:val="0"/>
        <w:spacing w:line="360" w:lineRule="auto"/>
        <w:ind w:left="840" w:leftChars="400"/>
        <w:rPr>
          <w:rFonts w:ascii="宋体" w:hAnsi="宋体" w:cs="宋体"/>
          <w:color w:val="auto"/>
          <w:sz w:val="24"/>
          <w:highlight w:val="none"/>
        </w:rPr>
      </w:pPr>
      <w:r>
        <w:rPr>
          <w:rFonts w:hint="eastAsia" w:ascii="宋体" w:hAnsi="宋体" w:cs="宋体"/>
          <w:color w:val="auto"/>
          <w:sz w:val="24"/>
          <w:highlight w:val="none"/>
        </w:rPr>
        <w:t>（4）采购人根据采购项目的特殊要求规定投标人特定条件的，联合体各方中至少应当有一方符合采购人规定的特定条件。对于招标公告对投标人某一资格有要求的，按照联合体各方中最低资质等级确定联合体的资质等级。</w:t>
      </w:r>
    </w:p>
    <w:p w14:paraId="06740BA3">
      <w:pPr>
        <w:tabs>
          <w:tab w:val="left" w:pos="840"/>
          <w:tab w:val="left" w:pos="850"/>
        </w:tabs>
        <w:adjustRightInd w:val="0"/>
        <w:snapToGrid w:val="0"/>
        <w:spacing w:line="360" w:lineRule="auto"/>
        <w:ind w:left="840" w:leftChars="400"/>
        <w:rPr>
          <w:rFonts w:ascii="宋体" w:hAnsi="宋体" w:cs="宋体"/>
          <w:color w:val="auto"/>
          <w:sz w:val="24"/>
          <w:highlight w:val="none"/>
        </w:rPr>
      </w:pPr>
      <w:r>
        <w:rPr>
          <w:rFonts w:hint="eastAsia" w:ascii="宋体" w:hAnsi="宋体" w:cs="宋体"/>
          <w:color w:val="auto"/>
          <w:sz w:val="24"/>
          <w:highlight w:val="none"/>
        </w:rPr>
        <w:t>（5）投标人的投标文件及中标后签署的合同协议对联合体各方均具法律约束力；</w:t>
      </w:r>
    </w:p>
    <w:p w14:paraId="6353727A">
      <w:pPr>
        <w:tabs>
          <w:tab w:val="left" w:pos="840"/>
          <w:tab w:val="left" w:pos="850"/>
        </w:tabs>
        <w:adjustRightInd w:val="0"/>
        <w:snapToGrid w:val="0"/>
        <w:spacing w:line="360" w:lineRule="auto"/>
        <w:ind w:left="840" w:leftChars="400"/>
        <w:rPr>
          <w:rFonts w:ascii="宋体" w:hAnsi="宋体" w:cs="宋体"/>
          <w:color w:val="auto"/>
          <w:sz w:val="24"/>
          <w:highlight w:val="none"/>
        </w:rPr>
      </w:pPr>
      <w:r>
        <w:rPr>
          <w:rFonts w:hint="eastAsia" w:ascii="宋体" w:hAnsi="宋体" w:cs="宋体"/>
          <w:color w:val="auto"/>
          <w:sz w:val="24"/>
          <w:highlight w:val="none"/>
        </w:rPr>
        <w:t>（6）联合体各方应当签订共同投标协议，明确约定各方拟承担的工作和责任，并将该共同投标协议随投标文件一并递交给采购</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w:t>
      </w:r>
    </w:p>
    <w:p w14:paraId="02D200C9">
      <w:pPr>
        <w:tabs>
          <w:tab w:val="left" w:pos="840"/>
          <w:tab w:val="left" w:pos="850"/>
        </w:tabs>
        <w:adjustRightInd w:val="0"/>
        <w:snapToGrid w:val="0"/>
        <w:spacing w:line="360" w:lineRule="auto"/>
        <w:ind w:left="840" w:leftChars="400"/>
        <w:rPr>
          <w:rFonts w:ascii="宋体" w:hAnsi="宋体" w:cs="宋体"/>
          <w:color w:val="auto"/>
          <w:sz w:val="24"/>
          <w:highlight w:val="none"/>
        </w:rPr>
      </w:pPr>
      <w:r>
        <w:rPr>
          <w:rFonts w:hint="eastAsia" w:ascii="宋体" w:hAnsi="宋体" w:cs="宋体"/>
          <w:color w:val="auto"/>
          <w:sz w:val="24"/>
          <w:highlight w:val="none"/>
        </w:rPr>
        <w:t>（7）联合体中标后，联合体各方应当共同与采购人签订合同，就中标项目向采购人承担连带责任；</w:t>
      </w:r>
    </w:p>
    <w:p w14:paraId="0162EAB5">
      <w:pPr>
        <w:tabs>
          <w:tab w:val="left" w:pos="840"/>
          <w:tab w:val="left" w:pos="850"/>
        </w:tabs>
        <w:adjustRightInd w:val="0"/>
        <w:snapToGrid w:val="0"/>
        <w:spacing w:line="360" w:lineRule="auto"/>
        <w:ind w:left="840" w:leftChars="400"/>
        <w:rPr>
          <w:rFonts w:ascii="宋体" w:hAnsi="宋体" w:cs="宋体"/>
          <w:color w:val="auto"/>
          <w:sz w:val="24"/>
          <w:highlight w:val="none"/>
        </w:rPr>
      </w:pPr>
      <w:r>
        <w:rPr>
          <w:rFonts w:hint="eastAsia" w:ascii="宋体" w:hAnsi="宋体" w:cs="宋体"/>
          <w:color w:val="auto"/>
          <w:sz w:val="24"/>
          <w:highlight w:val="none"/>
        </w:rPr>
        <w:t>（8）联合体的各方应当共同推荐一联合体投标授权代表方，由联合体各方提交一份授权书，证明其有资格代表联合体各方签署投标文件，该授权书作为投标文件的组成部分一并递交给采购</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w:t>
      </w:r>
    </w:p>
    <w:p w14:paraId="79C81F30">
      <w:pPr>
        <w:tabs>
          <w:tab w:val="left" w:pos="840"/>
          <w:tab w:val="left" w:pos="850"/>
        </w:tabs>
        <w:adjustRightInd w:val="0"/>
        <w:snapToGrid w:val="0"/>
        <w:spacing w:line="360" w:lineRule="auto"/>
        <w:ind w:left="840" w:leftChars="400"/>
        <w:rPr>
          <w:rFonts w:ascii="宋体" w:hAnsi="宋体" w:cs="宋体"/>
          <w:color w:val="auto"/>
          <w:sz w:val="24"/>
          <w:highlight w:val="none"/>
        </w:rPr>
      </w:pPr>
      <w:r>
        <w:rPr>
          <w:rFonts w:hint="eastAsia" w:ascii="宋体" w:hAnsi="宋体" w:cs="宋体"/>
          <w:color w:val="auto"/>
          <w:sz w:val="24"/>
          <w:highlight w:val="none"/>
        </w:rPr>
        <w:t>（9）以联合体形式参加政府采购活动的，联合体各方不得再单独参加或者与其他供应商另外组成联合体参加同一合同项下的政府采购活动，出现上述情况者，其投标和与此有关联合体、总包单位的投标将被拒绝；</w:t>
      </w:r>
    </w:p>
    <w:p w14:paraId="365D4972">
      <w:pPr>
        <w:tabs>
          <w:tab w:val="left" w:pos="840"/>
          <w:tab w:val="left" w:pos="850"/>
        </w:tabs>
        <w:adjustRightInd w:val="0"/>
        <w:snapToGrid w:val="0"/>
        <w:spacing w:line="360" w:lineRule="auto"/>
        <w:ind w:left="840" w:leftChars="400"/>
        <w:rPr>
          <w:rFonts w:ascii="宋体" w:hAnsi="宋体" w:cs="宋体"/>
          <w:color w:val="auto"/>
          <w:sz w:val="24"/>
          <w:highlight w:val="none"/>
        </w:rPr>
      </w:pPr>
      <w:r>
        <w:rPr>
          <w:rFonts w:hint="eastAsia" w:ascii="宋体" w:hAnsi="宋体" w:cs="宋体"/>
          <w:color w:val="auto"/>
          <w:sz w:val="24"/>
          <w:highlight w:val="none"/>
        </w:rPr>
        <w:t>（10）本通用条款中“投标人”一词亦指联合体各方，专用条款另有规定或说明的除外。</w:t>
      </w:r>
    </w:p>
    <w:p w14:paraId="25C8A4BE">
      <w:pPr>
        <w:numPr>
          <w:ilvl w:val="0"/>
          <w:numId w:val="20"/>
        </w:numPr>
        <w:tabs>
          <w:tab w:val="left" w:pos="420"/>
        </w:tabs>
        <w:adjustRightInd w:val="0"/>
        <w:snapToGrid w:val="0"/>
        <w:spacing w:line="360" w:lineRule="auto"/>
        <w:ind w:left="857" w:hanging="857"/>
        <w:rPr>
          <w:rFonts w:ascii="宋体" w:hAnsi="宋体" w:cs="宋体"/>
          <w:color w:val="auto"/>
          <w:sz w:val="24"/>
          <w:highlight w:val="none"/>
        </w:rPr>
      </w:pPr>
      <w:r>
        <w:rPr>
          <w:rFonts w:hint="eastAsia" w:ascii="宋体" w:hAnsi="宋体" w:cs="宋体"/>
          <w:color w:val="auto"/>
          <w:sz w:val="24"/>
          <w:highlight w:val="none"/>
        </w:rPr>
        <w:t>不符合上述要求的投标，将被视为无效投标被拒绝。</w:t>
      </w:r>
    </w:p>
    <w:p w14:paraId="30817949">
      <w:pPr>
        <w:numPr>
          <w:ilvl w:val="0"/>
          <w:numId w:val="0"/>
        </w:numPr>
        <w:tabs>
          <w:tab w:val="left" w:pos="420"/>
        </w:tabs>
        <w:adjustRightInd w:val="0"/>
        <w:snapToGrid w:val="0"/>
        <w:spacing w:line="360" w:lineRule="auto"/>
        <w:ind w:leftChars="0"/>
        <w:rPr>
          <w:rFonts w:ascii="宋体" w:hAnsi="宋体" w:cs="宋体"/>
          <w:color w:val="auto"/>
          <w:sz w:val="24"/>
          <w:highlight w:val="none"/>
        </w:rPr>
      </w:pPr>
    </w:p>
    <w:p w14:paraId="786B90AA">
      <w:pPr>
        <w:numPr>
          <w:ilvl w:val="0"/>
          <w:numId w:val="18"/>
        </w:numPr>
        <w:adjustRightInd w:val="0"/>
        <w:snapToGrid w:val="0"/>
        <w:spacing w:line="360" w:lineRule="auto"/>
        <w:ind w:left="857" w:hanging="857"/>
        <w:outlineLvl w:val="3"/>
        <w:rPr>
          <w:rFonts w:ascii="宋体" w:hAnsi="宋体" w:cs="宋体"/>
          <w:b/>
          <w:bCs/>
          <w:color w:val="auto"/>
          <w:sz w:val="24"/>
          <w:highlight w:val="none"/>
        </w:rPr>
      </w:pPr>
      <w:r>
        <w:rPr>
          <w:rFonts w:hint="eastAsia" w:ascii="宋体" w:hAnsi="宋体" w:cs="宋体"/>
          <w:b/>
          <w:bCs/>
          <w:color w:val="auto"/>
          <w:sz w:val="24"/>
          <w:highlight w:val="none"/>
        </w:rPr>
        <w:t>合格的货物和服务</w:t>
      </w:r>
    </w:p>
    <w:p w14:paraId="2230A248">
      <w:pPr>
        <w:numPr>
          <w:ilvl w:val="0"/>
          <w:numId w:val="22"/>
        </w:numPr>
        <w:adjustRightInd w:val="0"/>
        <w:snapToGrid w:val="0"/>
        <w:spacing w:line="360" w:lineRule="auto"/>
        <w:ind w:left="857" w:hanging="857"/>
        <w:rPr>
          <w:rFonts w:ascii="宋体" w:hAnsi="宋体" w:cs="宋体"/>
          <w:color w:val="auto"/>
          <w:sz w:val="24"/>
          <w:highlight w:val="none"/>
        </w:rPr>
      </w:pPr>
      <w:r>
        <w:rPr>
          <w:rFonts w:hint="eastAsia" w:ascii="宋体" w:hAnsi="宋体" w:cs="宋体"/>
          <w:color w:val="auto"/>
          <w:sz w:val="24"/>
          <w:highlight w:val="none"/>
        </w:rPr>
        <w:t>投标及合同规定的货物和服务指其来源符合</w:t>
      </w:r>
      <w:r>
        <w:rPr>
          <w:rFonts w:hint="eastAsia" w:ascii="宋体" w:hAnsi="宋体" w:cs="宋体"/>
          <w:b/>
          <w:color w:val="auto"/>
          <w:sz w:val="24"/>
          <w:highlight w:val="none"/>
        </w:rPr>
        <w:t>《投标人须知前附表》</w:t>
      </w:r>
      <w:r>
        <w:rPr>
          <w:rFonts w:hint="eastAsia" w:ascii="宋体" w:hAnsi="宋体" w:cs="宋体"/>
          <w:color w:val="auto"/>
          <w:sz w:val="24"/>
          <w:highlight w:val="none"/>
        </w:rPr>
        <w:t xml:space="preserve">所规定的货物和服务。本合同的支付也仅限于这些货物和服务。不符合这些来源要求的货物和服务将被视为无效投标被拒绝。 </w:t>
      </w:r>
    </w:p>
    <w:p w14:paraId="472AFFB4">
      <w:pPr>
        <w:numPr>
          <w:ilvl w:val="0"/>
          <w:numId w:val="22"/>
        </w:numPr>
        <w:adjustRightInd w:val="0"/>
        <w:snapToGrid w:val="0"/>
        <w:spacing w:line="360" w:lineRule="auto"/>
        <w:ind w:left="857" w:hanging="857"/>
        <w:rPr>
          <w:rFonts w:ascii="宋体" w:hAnsi="宋体" w:cs="宋体"/>
          <w:color w:val="auto"/>
          <w:sz w:val="24"/>
          <w:highlight w:val="none"/>
        </w:rPr>
      </w:pPr>
      <w:r>
        <w:rPr>
          <w:rFonts w:hint="eastAsia" w:ascii="宋体" w:hAnsi="宋体" w:cs="宋体"/>
          <w:color w:val="auto"/>
          <w:sz w:val="24"/>
          <w:highlight w:val="none"/>
        </w:rPr>
        <w:t>“原产地”指货物开采，生产或提供辅助服务的地方。所述的“货物”是指制造、加工或使用重要的和主要的部件装配而成的货物，在商业上公认的产品是指其基本特征，性能或功能与部件有着实质性区别的产品。本项目的“货物”或“货物和服务”包括项目所需的相关服务。</w:t>
      </w:r>
    </w:p>
    <w:p w14:paraId="6A3F5217">
      <w:pPr>
        <w:numPr>
          <w:ilvl w:val="0"/>
          <w:numId w:val="22"/>
        </w:numPr>
        <w:adjustRightInd w:val="0"/>
        <w:snapToGrid w:val="0"/>
        <w:spacing w:line="360" w:lineRule="auto"/>
        <w:ind w:left="857" w:hanging="857"/>
        <w:rPr>
          <w:rFonts w:ascii="宋体" w:hAnsi="宋体" w:cs="宋体"/>
          <w:color w:val="auto"/>
          <w:sz w:val="24"/>
          <w:highlight w:val="none"/>
        </w:rPr>
      </w:pPr>
      <w:r>
        <w:rPr>
          <w:rFonts w:hint="eastAsia" w:ascii="宋体" w:hAnsi="宋体" w:cs="宋体"/>
          <w:color w:val="auto"/>
          <w:sz w:val="24"/>
          <w:highlight w:val="none"/>
        </w:rPr>
        <w:t>合格的货物和服务是指投标人提供的，符合中华人民共和国的设计和制造生产或行业标准及招标要求的。</w:t>
      </w:r>
    </w:p>
    <w:p w14:paraId="69BBA108">
      <w:pPr>
        <w:numPr>
          <w:ilvl w:val="0"/>
          <w:numId w:val="22"/>
        </w:numPr>
        <w:adjustRightInd w:val="0"/>
        <w:snapToGrid w:val="0"/>
        <w:spacing w:line="360" w:lineRule="auto"/>
        <w:ind w:left="857" w:hanging="857"/>
        <w:rPr>
          <w:rFonts w:ascii="宋体" w:hAnsi="宋体" w:cs="宋体"/>
          <w:color w:val="auto"/>
          <w:sz w:val="24"/>
          <w:highlight w:val="none"/>
        </w:rPr>
      </w:pPr>
      <w:r>
        <w:rPr>
          <w:rFonts w:hint="eastAsia" w:ascii="宋体" w:hAnsi="宋体" w:cs="宋体"/>
          <w:color w:val="auto"/>
          <w:sz w:val="24"/>
          <w:highlight w:val="none"/>
        </w:rPr>
        <w:t>投标货物（如有）必须是全新的，如安装或配置了软件的，须为正版软件。</w:t>
      </w:r>
    </w:p>
    <w:p w14:paraId="54C6CDCD">
      <w:pPr>
        <w:numPr>
          <w:ilvl w:val="0"/>
          <w:numId w:val="22"/>
        </w:numPr>
        <w:adjustRightInd w:val="0"/>
        <w:snapToGrid w:val="0"/>
        <w:spacing w:line="360" w:lineRule="auto"/>
        <w:ind w:left="857" w:hanging="857"/>
        <w:rPr>
          <w:rFonts w:ascii="宋体" w:hAnsi="宋体" w:cs="宋体"/>
          <w:color w:val="auto"/>
          <w:sz w:val="24"/>
          <w:highlight w:val="none"/>
        </w:rPr>
      </w:pPr>
      <w:r>
        <w:rPr>
          <w:rFonts w:hint="eastAsia" w:ascii="宋体" w:hAnsi="宋体" w:cs="宋体"/>
          <w:color w:val="auto"/>
          <w:sz w:val="24"/>
          <w:highlight w:val="none"/>
        </w:rPr>
        <w:t>招标文件中没有提及招标货物、工程和服务来源地的，根据《中华人民共和国政府采购法》的相关规定均应是本国的货物、工程和服务。进口的货物必须是具有合法的进口手续和途径并通过了中华人民共和国商检部门检验。</w:t>
      </w:r>
    </w:p>
    <w:p w14:paraId="08219C3D">
      <w:pPr>
        <w:numPr>
          <w:ilvl w:val="0"/>
          <w:numId w:val="22"/>
        </w:numPr>
        <w:adjustRightInd w:val="0"/>
        <w:snapToGrid w:val="0"/>
        <w:spacing w:line="360" w:lineRule="auto"/>
        <w:ind w:left="857" w:hanging="857"/>
        <w:rPr>
          <w:rFonts w:ascii="宋体" w:hAnsi="宋体" w:cs="宋体"/>
          <w:color w:val="auto"/>
          <w:sz w:val="24"/>
          <w:highlight w:val="none"/>
        </w:rPr>
      </w:pPr>
      <w:r>
        <w:rPr>
          <w:rFonts w:hint="eastAsia" w:ascii="宋体" w:hAnsi="宋体" w:cs="宋体"/>
          <w:color w:val="auto"/>
          <w:sz w:val="24"/>
          <w:highlight w:val="none"/>
        </w:rPr>
        <w:t>投标人应保证，采购人在中华人民共和国使用该产品的任何一部分时，免受第三方提出的包括但不限于侵犯其专利权、商标权或工业设计权等知识产权和抵押权在内的担保物权的起诉。</w:t>
      </w:r>
    </w:p>
    <w:p w14:paraId="6B3BD66F">
      <w:pPr>
        <w:numPr>
          <w:ilvl w:val="0"/>
          <w:numId w:val="22"/>
        </w:numPr>
        <w:adjustRightInd w:val="0"/>
        <w:snapToGrid w:val="0"/>
        <w:spacing w:line="360" w:lineRule="auto"/>
        <w:ind w:left="857" w:hanging="857"/>
        <w:rPr>
          <w:rFonts w:ascii="宋体" w:hAnsi="宋体" w:cs="宋体"/>
          <w:color w:val="auto"/>
          <w:sz w:val="24"/>
          <w:highlight w:val="none"/>
        </w:rPr>
      </w:pPr>
      <w:r>
        <w:rPr>
          <w:rFonts w:hint="eastAsia" w:ascii="宋体" w:hAnsi="宋体" w:cs="宋体"/>
          <w:color w:val="auto"/>
          <w:sz w:val="24"/>
          <w:highlight w:val="none"/>
        </w:rPr>
        <w:t>投标人应保证，其所提供的货物（如有）应具有行政主管部门颁发的资质证书或国家质量监督部门的产品《检验报告》。设备（如有）到货验收时，还必须提供设备的产品合格证、质量保证文件。若中标后，除非另有约定，必须按合同规定完成设备的安装，并达到验收标准。</w:t>
      </w:r>
    </w:p>
    <w:p w14:paraId="4B97C3DA">
      <w:pPr>
        <w:numPr>
          <w:ilvl w:val="0"/>
          <w:numId w:val="22"/>
        </w:numPr>
        <w:adjustRightInd w:val="0"/>
        <w:snapToGrid w:val="0"/>
        <w:spacing w:line="360" w:lineRule="auto"/>
        <w:ind w:left="857" w:hanging="857"/>
        <w:rPr>
          <w:rFonts w:ascii="宋体" w:hAnsi="宋体" w:cs="宋体"/>
          <w:color w:val="auto"/>
          <w:sz w:val="24"/>
          <w:highlight w:val="none"/>
        </w:rPr>
      </w:pPr>
      <w:r>
        <w:rPr>
          <w:rFonts w:hint="eastAsia" w:ascii="宋体" w:hAnsi="宋体" w:cs="宋体"/>
          <w:color w:val="auto"/>
          <w:sz w:val="24"/>
          <w:highlight w:val="none"/>
        </w:rPr>
        <w:t>货物（如有）和服务的原产地有别于投标人的国籍。</w:t>
      </w:r>
    </w:p>
    <w:p w14:paraId="1544B876">
      <w:pPr>
        <w:adjustRightInd w:val="0"/>
        <w:snapToGrid w:val="0"/>
        <w:spacing w:line="360" w:lineRule="auto"/>
        <w:rPr>
          <w:rFonts w:ascii="宋体" w:hAnsi="宋体" w:cs="宋体"/>
          <w:color w:val="auto"/>
          <w:sz w:val="24"/>
          <w:highlight w:val="none"/>
        </w:rPr>
      </w:pPr>
    </w:p>
    <w:p w14:paraId="22B5F904">
      <w:pPr>
        <w:numPr>
          <w:ilvl w:val="0"/>
          <w:numId w:val="18"/>
        </w:numPr>
        <w:adjustRightInd w:val="0"/>
        <w:snapToGrid w:val="0"/>
        <w:spacing w:line="360" w:lineRule="auto"/>
        <w:ind w:left="857" w:hanging="857"/>
        <w:outlineLvl w:val="3"/>
        <w:rPr>
          <w:rFonts w:ascii="宋体" w:hAnsi="宋体" w:cs="宋体"/>
          <w:b/>
          <w:bCs/>
          <w:color w:val="auto"/>
          <w:sz w:val="24"/>
          <w:highlight w:val="none"/>
        </w:rPr>
      </w:pPr>
      <w:r>
        <w:rPr>
          <w:rFonts w:hint="eastAsia" w:ascii="宋体" w:hAnsi="宋体" w:cs="宋体"/>
          <w:b/>
          <w:bCs/>
          <w:color w:val="auto"/>
          <w:sz w:val="24"/>
          <w:highlight w:val="none"/>
        </w:rPr>
        <w:t>投标费用</w:t>
      </w:r>
    </w:p>
    <w:p w14:paraId="09502B61">
      <w:pPr>
        <w:widowControl/>
        <w:numPr>
          <w:ilvl w:val="0"/>
          <w:numId w:val="23"/>
        </w:numPr>
        <w:autoSpaceDE w:val="0"/>
        <w:autoSpaceDN w:val="0"/>
        <w:spacing w:line="360" w:lineRule="auto"/>
        <w:ind w:left="854" w:right="26" w:hanging="854"/>
        <w:jc w:val="left"/>
        <w:textAlignment w:val="bottom"/>
        <w:rPr>
          <w:rFonts w:ascii="宋体" w:hAnsi="宋体" w:cs="宋体"/>
          <w:color w:val="auto"/>
          <w:sz w:val="24"/>
          <w:highlight w:val="none"/>
        </w:rPr>
      </w:pPr>
      <w:r>
        <w:rPr>
          <w:rFonts w:hint="eastAsia" w:ascii="宋体" w:hAnsi="宋体" w:cs="宋体"/>
          <w:color w:val="auto"/>
          <w:sz w:val="24"/>
          <w:highlight w:val="none"/>
        </w:rPr>
        <w:t>投标人应承担所有与准备和参加投标有关的费用，无论投标过程中的作法和结果如何，采购人在任何情况下无义务和责任承担这些费用。</w:t>
      </w:r>
    </w:p>
    <w:p w14:paraId="7C6D4384">
      <w:pPr>
        <w:widowControl/>
        <w:autoSpaceDE w:val="0"/>
        <w:autoSpaceDN w:val="0"/>
        <w:spacing w:line="360" w:lineRule="auto"/>
        <w:ind w:right="26"/>
        <w:jc w:val="left"/>
        <w:textAlignment w:val="bottom"/>
        <w:rPr>
          <w:rFonts w:ascii="宋体" w:hAnsi="宋体" w:cs="宋体"/>
          <w:color w:val="auto"/>
          <w:sz w:val="24"/>
          <w:highlight w:val="none"/>
        </w:rPr>
      </w:pPr>
    </w:p>
    <w:p w14:paraId="0A6F1661">
      <w:pPr>
        <w:numPr>
          <w:ilvl w:val="0"/>
          <w:numId w:val="18"/>
        </w:numPr>
        <w:adjustRightInd w:val="0"/>
        <w:snapToGrid w:val="0"/>
        <w:spacing w:line="360" w:lineRule="auto"/>
        <w:ind w:left="843" w:hanging="843" w:hangingChars="350"/>
        <w:outlineLvl w:val="3"/>
        <w:rPr>
          <w:rFonts w:ascii="宋体" w:hAnsi="宋体" w:cs="宋体"/>
          <w:b/>
          <w:bCs/>
          <w:color w:val="auto"/>
          <w:sz w:val="24"/>
          <w:highlight w:val="none"/>
        </w:rPr>
      </w:pPr>
      <w:r>
        <w:rPr>
          <w:rFonts w:hint="eastAsia" w:ascii="宋体" w:hAnsi="宋体" w:cs="宋体"/>
          <w:b/>
          <w:bCs/>
          <w:color w:val="auto"/>
          <w:sz w:val="24"/>
          <w:highlight w:val="none"/>
        </w:rPr>
        <w:t>踏勘现场</w:t>
      </w:r>
    </w:p>
    <w:p w14:paraId="258A32B3">
      <w:pPr>
        <w:widowControl/>
        <w:numPr>
          <w:ilvl w:val="0"/>
          <w:numId w:val="24"/>
        </w:numPr>
        <w:autoSpaceDE w:val="0"/>
        <w:autoSpaceDN w:val="0"/>
        <w:spacing w:line="360" w:lineRule="auto"/>
        <w:ind w:left="854" w:right="26" w:hanging="854"/>
        <w:jc w:val="left"/>
        <w:textAlignment w:val="bottom"/>
        <w:rPr>
          <w:rFonts w:ascii="宋体" w:hAnsi="宋体" w:cs="宋体"/>
          <w:color w:val="auto"/>
          <w:sz w:val="24"/>
          <w:highlight w:val="none"/>
        </w:rPr>
      </w:pPr>
      <w:r>
        <w:rPr>
          <w:rFonts w:hint="eastAsia" w:ascii="宋体" w:hAnsi="宋体" w:cs="宋体"/>
          <w:color w:val="auto"/>
          <w:sz w:val="24"/>
          <w:highlight w:val="none"/>
        </w:rPr>
        <w:t>如有需要，采购人将组织投标人对项目现场及周围环境进行踏勘，以便投标人获取有关编制投标文件和签署合同所需的所有资料。踏勘现场所发生的费用由投标人自己承担，投标人应按</w:t>
      </w:r>
      <w:r>
        <w:rPr>
          <w:rFonts w:hint="eastAsia" w:ascii="宋体" w:hAnsi="宋体" w:cs="宋体"/>
          <w:b/>
          <w:color w:val="auto"/>
          <w:sz w:val="24"/>
          <w:highlight w:val="none"/>
        </w:rPr>
        <w:t>《投标人须知前附表》</w:t>
      </w:r>
      <w:r>
        <w:rPr>
          <w:rFonts w:hint="eastAsia" w:ascii="宋体" w:hAnsi="宋体" w:cs="宋体"/>
          <w:color w:val="auto"/>
          <w:sz w:val="24"/>
          <w:highlight w:val="none"/>
        </w:rPr>
        <w:t>所约定的时间、地点统一踏勘现场。</w:t>
      </w:r>
    </w:p>
    <w:p w14:paraId="69157061">
      <w:pPr>
        <w:widowControl/>
        <w:numPr>
          <w:ilvl w:val="0"/>
          <w:numId w:val="24"/>
        </w:numPr>
        <w:autoSpaceDE w:val="0"/>
        <w:autoSpaceDN w:val="0"/>
        <w:spacing w:line="360" w:lineRule="auto"/>
        <w:ind w:left="854" w:right="26" w:hanging="854"/>
        <w:jc w:val="left"/>
        <w:textAlignment w:val="bottom"/>
        <w:rPr>
          <w:rFonts w:ascii="宋体" w:hAnsi="宋体" w:cs="宋体"/>
          <w:color w:val="auto"/>
          <w:sz w:val="24"/>
          <w:highlight w:val="none"/>
        </w:rPr>
      </w:pPr>
      <w:r>
        <w:rPr>
          <w:rFonts w:hint="eastAsia" w:ascii="宋体" w:hAnsi="宋体" w:cs="宋体"/>
          <w:color w:val="auto"/>
          <w:sz w:val="24"/>
          <w:highlight w:val="none"/>
        </w:rPr>
        <w:t>采购人向投标人提供的有关现场的资料和数据，是采购人现有的能使投标人利用的资料（但未经采购</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在网上发布或书面通知，均作无效处理）。采购人对投标人由此而做出的推论、理解和结论概不负责。</w:t>
      </w:r>
    </w:p>
    <w:p w14:paraId="3FB0349F">
      <w:pPr>
        <w:widowControl/>
        <w:numPr>
          <w:ilvl w:val="0"/>
          <w:numId w:val="24"/>
        </w:numPr>
        <w:autoSpaceDE w:val="0"/>
        <w:autoSpaceDN w:val="0"/>
        <w:spacing w:line="360" w:lineRule="auto"/>
        <w:ind w:left="854" w:right="26" w:hanging="854"/>
        <w:jc w:val="left"/>
        <w:textAlignment w:val="bottom"/>
        <w:rPr>
          <w:rFonts w:ascii="宋体" w:hAnsi="宋体" w:cs="宋体"/>
          <w:color w:val="auto"/>
          <w:sz w:val="24"/>
          <w:highlight w:val="none"/>
        </w:rPr>
      </w:pPr>
      <w:r>
        <w:rPr>
          <w:rFonts w:hint="eastAsia" w:ascii="宋体" w:hAnsi="宋体" w:cs="宋体"/>
          <w:color w:val="auto"/>
          <w:sz w:val="24"/>
          <w:highlight w:val="none"/>
        </w:rPr>
        <w:t>投标人及其人员经过采购人的允许，可以踏勘目的进入招标人的工程现场，但投标人及其人员不得因此使招标人及其人员承担有关的责任和蒙受损失。投标人并应对由此次踏勘现场而造成的死亡、人身伤害、财产损失、损害以及任何其它损失、损害和引起的费用和开支承担责任。</w:t>
      </w:r>
    </w:p>
    <w:p w14:paraId="3617E79F">
      <w:pPr>
        <w:widowControl/>
        <w:numPr>
          <w:ilvl w:val="0"/>
          <w:numId w:val="24"/>
        </w:numPr>
        <w:autoSpaceDE w:val="0"/>
        <w:autoSpaceDN w:val="0"/>
        <w:spacing w:line="360" w:lineRule="auto"/>
        <w:ind w:left="854" w:right="26" w:hanging="854"/>
        <w:jc w:val="left"/>
        <w:textAlignment w:val="bottom"/>
        <w:rPr>
          <w:rFonts w:ascii="宋体" w:hAnsi="宋体" w:cs="宋体"/>
          <w:color w:val="auto"/>
          <w:sz w:val="24"/>
          <w:highlight w:val="none"/>
        </w:rPr>
      </w:pPr>
      <w:r>
        <w:rPr>
          <w:rFonts w:hint="eastAsia" w:ascii="宋体" w:hAnsi="宋体" w:cs="宋体"/>
          <w:color w:val="auto"/>
          <w:sz w:val="24"/>
          <w:highlight w:val="none"/>
        </w:rPr>
        <w:t>如果投标人认为需要再次进行现场踏勘，招标机构和招标人将予以支持，费用自理。</w:t>
      </w:r>
    </w:p>
    <w:p w14:paraId="34B93AFC">
      <w:pPr>
        <w:widowControl/>
        <w:numPr>
          <w:ilvl w:val="0"/>
          <w:numId w:val="24"/>
        </w:numPr>
        <w:autoSpaceDE w:val="0"/>
        <w:autoSpaceDN w:val="0"/>
        <w:spacing w:line="360" w:lineRule="auto"/>
        <w:ind w:left="854" w:right="26" w:hanging="854"/>
        <w:jc w:val="left"/>
        <w:textAlignment w:val="bottom"/>
        <w:rPr>
          <w:rFonts w:ascii="宋体" w:hAnsi="宋体" w:cs="宋体"/>
          <w:color w:val="auto"/>
          <w:sz w:val="24"/>
          <w:highlight w:val="none"/>
        </w:rPr>
      </w:pPr>
      <w:r>
        <w:rPr>
          <w:rFonts w:hint="eastAsia" w:ascii="宋体" w:hAnsi="宋体" w:cs="宋体"/>
          <w:color w:val="auto"/>
          <w:sz w:val="24"/>
          <w:highlight w:val="none"/>
        </w:rPr>
        <w:t>未参与现场踏勘不作为否定投标人资格的理由。</w:t>
      </w:r>
    </w:p>
    <w:p w14:paraId="6A4E5498">
      <w:pPr>
        <w:widowControl/>
        <w:numPr>
          <w:ilvl w:val="0"/>
          <w:numId w:val="0"/>
        </w:numPr>
        <w:tabs>
          <w:tab w:val="left" w:pos="850"/>
        </w:tabs>
        <w:autoSpaceDE w:val="0"/>
        <w:autoSpaceDN w:val="0"/>
        <w:spacing w:line="360" w:lineRule="auto"/>
        <w:ind w:right="26" w:rightChars="0"/>
        <w:jc w:val="left"/>
        <w:textAlignment w:val="bottom"/>
        <w:rPr>
          <w:rFonts w:hint="eastAsia" w:ascii="宋体" w:hAnsi="宋体" w:cs="宋体"/>
          <w:color w:val="auto"/>
          <w:sz w:val="24"/>
          <w:highlight w:val="none"/>
        </w:rPr>
      </w:pPr>
    </w:p>
    <w:p w14:paraId="0ECCEC44">
      <w:pPr>
        <w:widowControl/>
        <w:numPr>
          <w:ilvl w:val="0"/>
          <w:numId w:val="0"/>
        </w:numPr>
        <w:tabs>
          <w:tab w:val="left" w:pos="850"/>
        </w:tabs>
        <w:autoSpaceDE w:val="0"/>
        <w:autoSpaceDN w:val="0"/>
        <w:spacing w:line="360" w:lineRule="auto"/>
        <w:ind w:right="26" w:rightChars="0"/>
        <w:jc w:val="left"/>
        <w:textAlignment w:val="bottom"/>
        <w:rPr>
          <w:rFonts w:hint="eastAsia" w:ascii="宋体" w:hAnsi="宋体" w:cs="宋体"/>
          <w:color w:val="auto"/>
          <w:sz w:val="24"/>
          <w:highlight w:val="none"/>
        </w:rPr>
      </w:pPr>
    </w:p>
    <w:p w14:paraId="6E69DD89">
      <w:pPr>
        <w:spacing w:before="240" w:after="240"/>
        <w:jc w:val="center"/>
        <w:outlineLvl w:val="1"/>
        <w:rPr>
          <w:rFonts w:ascii="宋体" w:hAnsi="宋体" w:cs="宋体"/>
          <w:b/>
          <w:bCs/>
          <w:color w:val="auto"/>
          <w:sz w:val="32"/>
          <w:szCs w:val="32"/>
          <w:highlight w:val="none"/>
        </w:rPr>
      </w:pPr>
      <w:bookmarkStart w:id="23" w:name="_Toc15151"/>
      <w:r>
        <w:rPr>
          <w:rFonts w:hint="eastAsia" w:ascii="宋体" w:hAnsi="宋体" w:cs="宋体"/>
          <w:b/>
          <w:bCs/>
          <w:color w:val="auto"/>
          <w:sz w:val="32"/>
          <w:szCs w:val="32"/>
          <w:highlight w:val="none"/>
        </w:rPr>
        <w:t>二、 招标文件</w:t>
      </w:r>
      <w:bookmarkEnd w:id="23"/>
    </w:p>
    <w:p w14:paraId="11FE994C">
      <w:pPr>
        <w:numPr>
          <w:ilvl w:val="0"/>
          <w:numId w:val="18"/>
        </w:numPr>
        <w:adjustRightInd w:val="0"/>
        <w:snapToGrid w:val="0"/>
        <w:spacing w:line="360" w:lineRule="auto"/>
        <w:ind w:left="857" w:hanging="857"/>
        <w:outlineLvl w:val="3"/>
        <w:rPr>
          <w:rFonts w:ascii="宋体" w:hAnsi="宋体" w:cs="宋体"/>
          <w:b/>
          <w:bCs/>
          <w:color w:val="auto"/>
          <w:sz w:val="24"/>
          <w:highlight w:val="none"/>
        </w:rPr>
      </w:pPr>
      <w:r>
        <w:rPr>
          <w:rFonts w:hint="eastAsia" w:ascii="宋体" w:hAnsi="宋体" w:cs="宋体"/>
          <w:b/>
          <w:bCs/>
          <w:color w:val="auto"/>
          <w:sz w:val="24"/>
          <w:highlight w:val="none"/>
        </w:rPr>
        <w:t>招标文件的构成</w:t>
      </w:r>
    </w:p>
    <w:p w14:paraId="4637D68E">
      <w:pPr>
        <w:widowControl/>
        <w:numPr>
          <w:ilvl w:val="0"/>
          <w:numId w:val="25"/>
        </w:numPr>
        <w:tabs>
          <w:tab w:val="left" w:pos="420"/>
        </w:tabs>
        <w:autoSpaceDE w:val="0"/>
        <w:autoSpaceDN w:val="0"/>
        <w:spacing w:line="360" w:lineRule="auto"/>
        <w:ind w:left="841" w:right="26" w:hanging="841"/>
        <w:jc w:val="left"/>
        <w:textAlignment w:val="bottom"/>
        <w:rPr>
          <w:rFonts w:ascii="宋体" w:hAnsi="宋体" w:cs="宋体"/>
          <w:color w:val="auto"/>
          <w:sz w:val="24"/>
          <w:highlight w:val="none"/>
        </w:rPr>
      </w:pPr>
      <w:r>
        <w:rPr>
          <w:rFonts w:hint="eastAsia" w:ascii="宋体" w:hAnsi="宋体" w:cs="宋体"/>
          <w:color w:val="auto"/>
          <w:sz w:val="24"/>
          <w:highlight w:val="none"/>
        </w:rPr>
        <w:t>招标文件用以阐明所需货物或服务、招标、投标程序和合同条款，分专用条款和通用条款两大部分。专用条款是对具体招标项目的说明、补充、完善和对通用条款的修改等，通用条款与专用条款内容如有差异，以专用条款为准。</w:t>
      </w:r>
    </w:p>
    <w:p w14:paraId="652D9714">
      <w:pPr>
        <w:spacing w:line="360" w:lineRule="auto"/>
        <w:ind w:left="840" w:leftChars="400"/>
        <w:rPr>
          <w:rFonts w:ascii="宋体" w:hAnsi="宋体" w:cs="宋体"/>
          <w:color w:val="auto"/>
          <w:sz w:val="24"/>
          <w:highlight w:val="none"/>
        </w:rPr>
      </w:pPr>
      <w:r>
        <w:rPr>
          <w:rFonts w:hint="eastAsia" w:ascii="宋体" w:hAnsi="宋体" w:cs="宋体"/>
          <w:color w:val="auto"/>
          <w:sz w:val="24"/>
          <w:highlight w:val="none"/>
        </w:rPr>
        <w:t>招标文件包括：</w:t>
      </w:r>
    </w:p>
    <w:p w14:paraId="69735E4F">
      <w:pPr>
        <w:spacing w:line="360" w:lineRule="auto"/>
        <w:ind w:left="840" w:leftChars="400"/>
        <w:rPr>
          <w:color w:val="auto"/>
          <w:sz w:val="24"/>
          <w:highlight w:val="none"/>
        </w:rPr>
      </w:pPr>
      <w:bookmarkStart w:id="24" w:name="_Toc30105"/>
      <w:r>
        <w:rPr>
          <w:rFonts w:hint="eastAsia"/>
          <w:color w:val="auto"/>
          <w:sz w:val="24"/>
          <w:highlight w:val="none"/>
        </w:rPr>
        <w:t>第一册</w:t>
      </w:r>
      <w:r>
        <w:rPr>
          <w:color w:val="auto"/>
          <w:sz w:val="24"/>
          <w:highlight w:val="none"/>
        </w:rPr>
        <w:t xml:space="preserve">  </w:t>
      </w:r>
      <w:r>
        <w:rPr>
          <w:rFonts w:hint="eastAsia"/>
          <w:color w:val="auto"/>
          <w:sz w:val="24"/>
          <w:highlight w:val="none"/>
        </w:rPr>
        <w:t>专用条款</w:t>
      </w:r>
      <w:bookmarkEnd w:id="24"/>
    </w:p>
    <w:p w14:paraId="0178397C">
      <w:pPr>
        <w:spacing w:line="360" w:lineRule="auto"/>
        <w:ind w:firstLine="1200" w:firstLineChars="500"/>
        <w:rPr>
          <w:color w:val="auto"/>
          <w:sz w:val="24"/>
          <w:highlight w:val="none"/>
        </w:rPr>
      </w:pPr>
      <w:r>
        <w:rPr>
          <w:rFonts w:hint="eastAsia"/>
          <w:color w:val="auto"/>
          <w:sz w:val="24"/>
          <w:highlight w:val="none"/>
        </w:rPr>
        <w:t>第一章</w:t>
      </w:r>
      <w:r>
        <w:rPr>
          <w:color w:val="auto"/>
          <w:sz w:val="24"/>
          <w:highlight w:val="none"/>
        </w:rPr>
        <w:t xml:space="preserve">  </w:t>
      </w:r>
      <w:r>
        <w:rPr>
          <w:rFonts w:hint="eastAsia"/>
          <w:color w:val="auto"/>
          <w:sz w:val="24"/>
          <w:highlight w:val="none"/>
        </w:rPr>
        <w:t>投标邀请书</w:t>
      </w:r>
    </w:p>
    <w:p w14:paraId="2AB3BFBC">
      <w:pPr>
        <w:spacing w:line="360" w:lineRule="auto"/>
        <w:ind w:firstLine="1200" w:firstLineChars="500"/>
        <w:rPr>
          <w:color w:val="auto"/>
          <w:sz w:val="24"/>
          <w:highlight w:val="none"/>
        </w:rPr>
      </w:pPr>
      <w:r>
        <w:rPr>
          <w:rFonts w:hint="eastAsia"/>
          <w:color w:val="auto"/>
          <w:sz w:val="24"/>
          <w:highlight w:val="none"/>
        </w:rPr>
        <w:t>第二章</w:t>
      </w:r>
      <w:r>
        <w:rPr>
          <w:color w:val="auto"/>
          <w:sz w:val="24"/>
          <w:highlight w:val="none"/>
        </w:rPr>
        <w:t xml:space="preserve">  </w:t>
      </w:r>
      <w:r>
        <w:rPr>
          <w:rFonts w:hint="eastAsia"/>
          <w:color w:val="auto"/>
          <w:sz w:val="24"/>
          <w:highlight w:val="none"/>
        </w:rPr>
        <w:t>投标人须知前附表</w:t>
      </w:r>
    </w:p>
    <w:p w14:paraId="6538D5E0">
      <w:pPr>
        <w:spacing w:line="360" w:lineRule="auto"/>
        <w:ind w:firstLine="1200" w:firstLineChars="500"/>
        <w:rPr>
          <w:color w:val="auto"/>
          <w:sz w:val="24"/>
          <w:highlight w:val="none"/>
        </w:rPr>
      </w:pPr>
      <w:r>
        <w:rPr>
          <w:rFonts w:hint="eastAsia"/>
          <w:color w:val="auto"/>
          <w:sz w:val="24"/>
          <w:highlight w:val="none"/>
        </w:rPr>
        <w:t>第三章</w:t>
      </w:r>
      <w:r>
        <w:rPr>
          <w:color w:val="auto"/>
          <w:sz w:val="24"/>
          <w:highlight w:val="none"/>
        </w:rPr>
        <w:t xml:space="preserve">  </w:t>
      </w:r>
      <w:r>
        <w:rPr>
          <w:rFonts w:hint="eastAsia"/>
          <w:color w:val="auto"/>
          <w:sz w:val="24"/>
          <w:highlight w:val="none"/>
        </w:rPr>
        <w:t>用户需求书</w:t>
      </w:r>
    </w:p>
    <w:p w14:paraId="5130C391">
      <w:pPr>
        <w:spacing w:line="360" w:lineRule="auto"/>
        <w:ind w:firstLine="1200" w:firstLineChars="500"/>
        <w:rPr>
          <w:color w:val="auto"/>
          <w:sz w:val="24"/>
          <w:highlight w:val="none"/>
        </w:rPr>
      </w:pPr>
      <w:r>
        <w:rPr>
          <w:rFonts w:hint="eastAsia"/>
          <w:color w:val="auto"/>
          <w:sz w:val="24"/>
          <w:highlight w:val="none"/>
        </w:rPr>
        <w:t>第四章</w:t>
      </w:r>
      <w:r>
        <w:rPr>
          <w:color w:val="auto"/>
          <w:sz w:val="24"/>
          <w:highlight w:val="none"/>
        </w:rPr>
        <w:t xml:space="preserve">  </w:t>
      </w:r>
      <w:r>
        <w:rPr>
          <w:rFonts w:hint="eastAsia"/>
          <w:color w:val="auto"/>
          <w:sz w:val="24"/>
          <w:highlight w:val="none"/>
        </w:rPr>
        <w:t>投标文件格式</w:t>
      </w:r>
    </w:p>
    <w:p w14:paraId="38FECA0A">
      <w:pPr>
        <w:spacing w:line="360" w:lineRule="auto"/>
        <w:ind w:left="840" w:leftChars="400"/>
        <w:rPr>
          <w:color w:val="auto"/>
          <w:sz w:val="24"/>
          <w:highlight w:val="none"/>
        </w:rPr>
      </w:pPr>
      <w:bookmarkStart w:id="25" w:name="_Toc8776"/>
      <w:bookmarkStart w:id="26" w:name="_Toc7873"/>
      <w:r>
        <w:rPr>
          <w:rFonts w:hint="eastAsia"/>
          <w:color w:val="auto"/>
          <w:sz w:val="24"/>
          <w:highlight w:val="none"/>
        </w:rPr>
        <w:t>第二册</w:t>
      </w:r>
      <w:r>
        <w:rPr>
          <w:color w:val="auto"/>
          <w:sz w:val="24"/>
          <w:highlight w:val="none"/>
        </w:rPr>
        <w:t xml:space="preserve">  </w:t>
      </w:r>
      <w:r>
        <w:rPr>
          <w:rFonts w:hint="eastAsia"/>
          <w:color w:val="auto"/>
          <w:sz w:val="24"/>
          <w:highlight w:val="none"/>
        </w:rPr>
        <w:t>通用条款</w:t>
      </w:r>
      <w:bookmarkEnd w:id="25"/>
      <w:bookmarkEnd w:id="26"/>
    </w:p>
    <w:p w14:paraId="6CA4F7C7">
      <w:pPr>
        <w:spacing w:line="360" w:lineRule="auto"/>
        <w:ind w:firstLine="1200" w:firstLineChars="500"/>
        <w:rPr>
          <w:color w:val="auto"/>
          <w:sz w:val="24"/>
          <w:highlight w:val="none"/>
        </w:rPr>
      </w:pPr>
      <w:bookmarkStart w:id="27" w:name="_Toc19901"/>
      <w:bookmarkStart w:id="28" w:name="_Toc1524"/>
      <w:r>
        <w:rPr>
          <w:rFonts w:hint="eastAsia"/>
          <w:color w:val="auto"/>
          <w:sz w:val="24"/>
          <w:highlight w:val="none"/>
        </w:rPr>
        <w:t>第六章</w:t>
      </w:r>
      <w:r>
        <w:rPr>
          <w:color w:val="auto"/>
          <w:sz w:val="24"/>
          <w:highlight w:val="none"/>
        </w:rPr>
        <w:t xml:space="preserve">  </w:t>
      </w:r>
      <w:r>
        <w:rPr>
          <w:rFonts w:hint="eastAsia"/>
          <w:color w:val="auto"/>
          <w:sz w:val="24"/>
          <w:highlight w:val="none"/>
        </w:rPr>
        <w:t>投标人须知</w:t>
      </w:r>
      <w:bookmarkEnd w:id="27"/>
      <w:bookmarkEnd w:id="28"/>
    </w:p>
    <w:p w14:paraId="561CA05B">
      <w:pPr>
        <w:widowControl/>
        <w:numPr>
          <w:ilvl w:val="0"/>
          <w:numId w:val="25"/>
        </w:numPr>
        <w:tabs>
          <w:tab w:val="left" w:pos="420"/>
        </w:tabs>
        <w:autoSpaceDE w:val="0"/>
        <w:autoSpaceDN w:val="0"/>
        <w:spacing w:line="360" w:lineRule="auto"/>
        <w:ind w:left="841" w:right="26" w:hanging="841"/>
        <w:jc w:val="left"/>
        <w:textAlignment w:val="bottom"/>
        <w:rPr>
          <w:rFonts w:ascii="宋体" w:hAnsi="宋体" w:cs="宋体"/>
          <w:color w:val="auto"/>
          <w:sz w:val="24"/>
          <w:highlight w:val="none"/>
        </w:rPr>
      </w:pPr>
      <w:r>
        <w:rPr>
          <w:rFonts w:hint="eastAsia" w:ascii="宋体" w:hAnsi="宋体" w:cs="宋体"/>
          <w:color w:val="auto"/>
          <w:sz w:val="24"/>
          <w:highlight w:val="none"/>
        </w:rPr>
        <w:t>投标人在获取招标文件后，应仔细检查招标文件的所有内容，如有残缺应在答疑截止时间之前向</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提出，否则，由此引起的投标损失自负；</w:t>
      </w:r>
    </w:p>
    <w:p w14:paraId="44F2D3FE">
      <w:pPr>
        <w:widowControl/>
        <w:numPr>
          <w:ilvl w:val="0"/>
          <w:numId w:val="25"/>
        </w:numPr>
        <w:tabs>
          <w:tab w:val="left" w:pos="420"/>
        </w:tabs>
        <w:autoSpaceDE w:val="0"/>
        <w:autoSpaceDN w:val="0"/>
        <w:spacing w:line="360" w:lineRule="auto"/>
        <w:ind w:left="841" w:right="26" w:hanging="841"/>
        <w:jc w:val="left"/>
        <w:textAlignment w:val="bottom"/>
        <w:rPr>
          <w:rFonts w:ascii="宋体" w:hAnsi="宋体" w:cs="宋体"/>
          <w:color w:val="auto"/>
          <w:sz w:val="24"/>
          <w:highlight w:val="none"/>
        </w:rPr>
      </w:pPr>
      <w:r>
        <w:rPr>
          <w:rFonts w:hint="eastAsia" w:ascii="宋体" w:hAnsi="宋体" w:cs="宋体"/>
          <w:color w:val="auto"/>
          <w:sz w:val="24"/>
          <w:highlight w:val="none"/>
        </w:rPr>
        <w:t>投标人应认真阅读招标文件中所有事项、格式、条款和技术规格等。投标人未按招标文件要求提供全部资料，或提交的投标文件未对招标文件做出实质性响应，那么投标人将承担其投标文件被拒绝或被作投标无效处理的风险。</w:t>
      </w:r>
    </w:p>
    <w:p w14:paraId="0B16B90D">
      <w:pPr>
        <w:widowControl/>
        <w:numPr>
          <w:ilvl w:val="0"/>
          <w:numId w:val="25"/>
        </w:numPr>
        <w:tabs>
          <w:tab w:val="left" w:pos="420"/>
        </w:tabs>
        <w:autoSpaceDE w:val="0"/>
        <w:autoSpaceDN w:val="0"/>
        <w:spacing w:line="360" w:lineRule="auto"/>
        <w:ind w:left="841" w:right="26" w:hanging="841"/>
        <w:jc w:val="left"/>
        <w:textAlignment w:val="bottom"/>
        <w:rPr>
          <w:rFonts w:ascii="宋体" w:hAnsi="宋体" w:cs="宋体"/>
          <w:color w:val="auto"/>
          <w:sz w:val="24"/>
          <w:highlight w:val="none"/>
        </w:rPr>
      </w:pPr>
      <w:r>
        <w:rPr>
          <w:rFonts w:hint="eastAsia" w:ascii="宋体" w:hAnsi="宋体" w:cs="宋体"/>
          <w:color w:val="auto"/>
          <w:sz w:val="24"/>
          <w:highlight w:val="none"/>
        </w:rPr>
        <w:t>任何人或任何组织向投标人提交的任何书面或口头资料，未经</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在网上发布或书面通知，均作无效处理，不得作为招标文件的组成部分。采购</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对投标人由此而做出的推论、理解和结论概不负责。</w:t>
      </w:r>
    </w:p>
    <w:p w14:paraId="79176B0F">
      <w:pPr>
        <w:widowControl/>
        <w:numPr>
          <w:ilvl w:val="0"/>
          <w:numId w:val="25"/>
        </w:numPr>
        <w:tabs>
          <w:tab w:val="left" w:pos="420"/>
        </w:tabs>
        <w:autoSpaceDE w:val="0"/>
        <w:autoSpaceDN w:val="0"/>
        <w:spacing w:line="360" w:lineRule="auto"/>
        <w:ind w:left="841" w:right="26" w:hanging="841"/>
        <w:jc w:val="left"/>
        <w:textAlignment w:val="bottom"/>
        <w:rPr>
          <w:rFonts w:ascii="宋体" w:hAnsi="宋体" w:cs="宋体"/>
          <w:color w:val="auto"/>
          <w:sz w:val="24"/>
          <w:highlight w:val="none"/>
        </w:rPr>
      </w:pPr>
      <w:bookmarkStart w:id="29" w:name="_Toc3853"/>
      <w:r>
        <w:rPr>
          <w:rFonts w:hint="eastAsia" w:ascii="宋体" w:hAnsi="宋体" w:cs="宋体"/>
          <w:color w:val="auto"/>
          <w:sz w:val="24"/>
          <w:highlight w:val="none"/>
        </w:rPr>
        <w:t>本招标文件使用的词语有如下定义：</w:t>
      </w:r>
      <w:bookmarkEnd w:id="29"/>
    </w:p>
    <w:p w14:paraId="5F7064EF">
      <w:pPr>
        <w:numPr>
          <w:ilvl w:val="0"/>
          <w:numId w:val="26"/>
        </w:numPr>
        <w:tabs>
          <w:tab w:val="left" w:pos="850"/>
        </w:tabs>
        <w:adjustRightInd w:val="0"/>
        <w:spacing w:line="360" w:lineRule="atLeast"/>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采购人：指依法进行政府采购的单位；</w:t>
      </w:r>
    </w:p>
    <w:p w14:paraId="3BEA1145">
      <w:pPr>
        <w:numPr>
          <w:ilvl w:val="0"/>
          <w:numId w:val="26"/>
        </w:numPr>
        <w:tabs>
          <w:tab w:val="left" w:pos="850"/>
        </w:tabs>
        <w:adjustRightInd w:val="0"/>
        <w:spacing w:line="360" w:lineRule="atLeast"/>
        <w:ind w:left="825" w:hanging="825"/>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投标人：参加本项目所需的货物或服务的投标，并向</w:t>
      </w:r>
      <w:r>
        <w:rPr>
          <w:rFonts w:hint="eastAsia" w:ascii="宋体" w:hAnsi="宋体" w:cs="宋体"/>
          <w:color w:val="auto"/>
          <w:kern w:val="0"/>
          <w:sz w:val="24"/>
          <w:highlight w:val="none"/>
          <w:lang w:val="en-US" w:eastAsia="zh-CN"/>
        </w:rPr>
        <w:t>采购人</w:t>
      </w:r>
      <w:r>
        <w:rPr>
          <w:rFonts w:hint="eastAsia" w:ascii="宋体" w:hAnsi="宋体" w:cs="宋体"/>
          <w:color w:val="auto"/>
          <w:kern w:val="0"/>
          <w:sz w:val="24"/>
          <w:highlight w:val="none"/>
        </w:rPr>
        <w:t>提交投标文件的当事人；</w:t>
      </w:r>
    </w:p>
    <w:p w14:paraId="51B4EAA1">
      <w:pPr>
        <w:numPr>
          <w:ilvl w:val="0"/>
          <w:numId w:val="26"/>
        </w:numPr>
        <w:tabs>
          <w:tab w:val="left" w:pos="840"/>
          <w:tab w:val="left" w:pos="850"/>
        </w:tabs>
        <w:adjustRightInd w:val="0"/>
        <w:spacing w:line="360" w:lineRule="atLeast"/>
        <w:ind w:left="825" w:hanging="825"/>
        <w:jc w:val="left"/>
        <w:textAlignment w:val="baseline"/>
        <w:rPr>
          <w:rFonts w:ascii="宋体" w:hAnsi="宋体" w:cs="宋体"/>
          <w:color w:val="auto"/>
          <w:kern w:val="0"/>
          <w:sz w:val="24"/>
          <w:highlight w:val="none"/>
        </w:rPr>
      </w:pPr>
      <w:r>
        <w:rPr>
          <w:rFonts w:hint="eastAsia" w:ascii="宋体" w:hAnsi="宋体" w:cs="宋体"/>
          <w:color w:val="auto"/>
          <w:sz w:val="24"/>
          <w:highlight w:val="none"/>
          <w:lang w:val="en-US" w:eastAsia="zh-CN"/>
        </w:rPr>
        <w:t>校内招投标小组</w:t>
      </w:r>
      <w:r>
        <w:rPr>
          <w:rFonts w:hint="eastAsia" w:ascii="宋体" w:hAnsi="宋体" w:cs="宋体"/>
          <w:color w:val="auto"/>
          <w:kern w:val="0"/>
          <w:sz w:val="24"/>
          <w:highlight w:val="none"/>
        </w:rPr>
        <w:t>：</w:t>
      </w:r>
      <w:r>
        <w:rPr>
          <w:rFonts w:hint="eastAsia" w:ascii="宋体" w:hAnsi="宋体" w:cs="宋体"/>
          <w:color w:val="auto"/>
          <w:sz w:val="24"/>
          <w:highlight w:val="none"/>
          <w:lang w:val="en-US" w:eastAsia="zh-CN"/>
        </w:rPr>
        <w:t>校内招投标小组</w:t>
      </w:r>
      <w:r>
        <w:rPr>
          <w:rFonts w:hint="eastAsia" w:ascii="宋体" w:hAnsi="宋体" w:cs="宋体"/>
          <w:color w:val="auto"/>
          <w:kern w:val="0"/>
          <w:sz w:val="24"/>
          <w:highlight w:val="none"/>
        </w:rPr>
        <w:t>是参照国家和深圳市有关招标采购的相关法律法规和政策等组建的专门负责本次招标的评标工作的临时性机构。</w:t>
      </w:r>
    </w:p>
    <w:p w14:paraId="2C14D449">
      <w:pPr>
        <w:numPr>
          <w:ilvl w:val="0"/>
          <w:numId w:val="26"/>
        </w:numPr>
        <w:tabs>
          <w:tab w:val="left" w:pos="850"/>
        </w:tabs>
        <w:adjustRightInd w:val="0"/>
        <w:spacing w:line="360" w:lineRule="atLeast"/>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日期：指公历日。</w:t>
      </w:r>
    </w:p>
    <w:p w14:paraId="518C4074">
      <w:pPr>
        <w:numPr>
          <w:ilvl w:val="0"/>
          <w:numId w:val="26"/>
        </w:numPr>
        <w:tabs>
          <w:tab w:val="left" w:pos="850"/>
        </w:tabs>
        <w:adjustRightInd w:val="0"/>
        <w:spacing w:line="360" w:lineRule="atLeast"/>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招标文件：指由采购</w:t>
      </w:r>
      <w:r>
        <w:rPr>
          <w:rFonts w:hint="eastAsia" w:ascii="宋体" w:hAnsi="宋体" w:cs="宋体"/>
          <w:color w:val="auto"/>
          <w:kern w:val="0"/>
          <w:sz w:val="24"/>
          <w:highlight w:val="none"/>
          <w:lang w:val="en-US" w:eastAsia="zh-CN"/>
        </w:rPr>
        <w:t>人</w:t>
      </w:r>
      <w:r>
        <w:rPr>
          <w:rFonts w:hint="eastAsia" w:ascii="宋体" w:hAnsi="宋体" w:cs="宋体"/>
          <w:color w:val="auto"/>
          <w:kern w:val="0"/>
          <w:sz w:val="24"/>
          <w:highlight w:val="none"/>
        </w:rPr>
        <w:t>发出的本招标文件，包括全部章节和附件；</w:t>
      </w:r>
    </w:p>
    <w:p w14:paraId="73CC0D19">
      <w:pPr>
        <w:numPr>
          <w:ilvl w:val="0"/>
          <w:numId w:val="26"/>
        </w:numPr>
        <w:tabs>
          <w:tab w:val="left" w:pos="850"/>
        </w:tabs>
        <w:adjustRightInd w:val="0"/>
        <w:spacing w:line="360" w:lineRule="atLeast"/>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投标文件：指投标人根据本招标文件向采购</w:t>
      </w:r>
      <w:r>
        <w:rPr>
          <w:rFonts w:hint="eastAsia" w:ascii="宋体" w:hAnsi="宋体" w:cs="宋体"/>
          <w:color w:val="auto"/>
          <w:kern w:val="0"/>
          <w:sz w:val="24"/>
          <w:highlight w:val="none"/>
          <w:lang w:val="en-US" w:eastAsia="zh-CN"/>
        </w:rPr>
        <w:t>人</w:t>
      </w:r>
      <w:r>
        <w:rPr>
          <w:rFonts w:hint="eastAsia" w:ascii="宋体" w:hAnsi="宋体" w:cs="宋体"/>
          <w:color w:val="auto"/>
          <w:kern w:val="0"/>
          <w:sz w:val="24"/>
          <w:highlight w:val="none"/>
        </w:rPr>
        <w:t>提交的全部文件；</w:t>
      </w:r>
    </w:p>
    <w:p w14:paraId="195E9A42">
      <w:pPr>
        <w:numPr>
          <w:ilvl w:val="0"/>
          <w:numId w:val="26"/>
        </w:numPr>
        <w:tabs>
          <w:tab w:val="left" w:pos="850"/>
        </w:tabs>
        <w:adjustRightInd w:val="0"/>
        <w:spacing w:line="360" w:lineRule="atLeast"/>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货物或服务：指符合本招标文件《用户需求书》规定的招标要求。</w:t>
      </w:r>
    </w:p>
    <w:p w14:paraId="60A363CE">
      <w:pPr>
        <w:numPr>
          <w:ilvl w:val="0"/>
          <w:numId w:val="26"/>
        </w:numPr>
        <w:tabs>
          <w:tab w:val="left" w:pos="840"/>
          <w:tab w:val="left" w:pos="850"/>
        </w:tabs>
        <w:adjustRightInd w:val="0"/>
        <w:spacing w:line="360" w:lineRule="atLeast"/>
        <w:ind w:left="840" w:hanging="840" w:hangingChars="350"/>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招标文件中的标题或题名仅起引导作用，而不应视为对招标文件内容的理解和解释。</w:t>
      </w:r>
    </w:p>
    <w:p w14:paraId="68E7E1C2">
      <w:pPr>
        <w:numPr>
          <w:ilvl w:val="0"/>
          <w:numId w:val="26"/>
        </w:numPr>
        <w:tabs>
          <w:tab w:val="left" w:pos="840"/>
          <w:tab w:val="left" w:pos="850"/>
        </w:tabs>
        <w:adjustRightInd w:val="0"/>
        <w:spacing w:line="360" w:lineRule="atLeast"/>
        <w:ind w:left="840" w:hanging="840" w:hangingChars="350"/>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招标文件中所规定的“书面形式”，是指任何手写的、打印的或印刷的通讯，包括电报和传真发送等。</w:t>
      </w:r>
    </w:p>
    <w:p w14:paraId="652FC710">
      <w:pPr>
        <w:widowControl/>
        <w:autoSpaceDE w:val="0"/>
        <w:autoSpaceDN w:val="0"/>
        <w:spacing w:line="360" w:lineRule="auto"/>
        <w:ind w:right="26"/>
        <w:jc w:val="left"/>
        <w:textAlignment w:val="bottom"/>
        <w:rPr>
          <w:rFonts w:ascii="宋体" w:hAnsi="宋体" w:cs="宋体"/>
          <w:color w:val="auto"/>
          <w:sz w:val="24"/>
          <w:highlight w:val="none"/>
        </w:rPr>
      </w:pPr>
    </w:p>
    <w:p w14:paraId="5A2637C2">
      <w:pPr>
        <w:numPr>
          <w:ilvl w:val="0"/>
          <w:numId w:val="18"/>
        </w:numPr>
        <w:adjustRightInd w:val="0"/>
        <w:snapToGrid w:val="0"/>
        <w:spacing w:line="360" w:lineRule="auto"/>
        <w:ind w:left="857" w:hanging="857"/>
        <w:outlineLvl w:val="3"/>
        <w:rPr>
          <w:rFonts w:ascii="宋体" w:hAnsi="宋体" w:cs="宋体"/>
          <w:b/>
          <w:bCs/>
          <w:color w:val="auto"/>
          <w:sz w:val="24"/>
          <w:highlight w:val="none"/>
        </w:rPr>
      </w:pPr>
      <w:r>
        <w:rPr>
          <w:rFonts w:hint="eastAsia" w:ascii="宋体" w:hAnsi="宋体" w:cs="宋体"/>
          <w:b/>
          <w:bCs/>
          <w:color w:val="auto"/>
          <w:sz w:val="24"/>
          <w:highlight w:val="none"/>
        </w:rPr>
        <w:t>招标文件的澄清</w:t>
      </w:r>
    </w:p>
    <w:p w14:paraId="1CA95381">
      <w:pPr>
        <w:numPr>
          <w:ilvl w:val="0"/>
          <w:numId w:val="27"/>
        </w:numPr>
        <w:tabs>
          <w:tab w:val="clear" w:pos="850"/>
        </w:tabs>
        <w:adjustRightInd w:val="0"/>
        <w:snapToGrid w:val="0"/>
        <w:spacing w:line="360" w:lineRule="auto"/>
        <w:ind w:left="841" w:hanging="841"/>
        <w:rPr>
          <w:rFonts w:ascii="宋体" w:hAnsi="宋体" w:cs="宋体"/>
          <w:color w:val="auto"/>
          <w:sz w:val="24"/>
          <w:highlight w:val="none"/>
        </w:rPr>
      </w:pPr>
      <w:r>
        <w:rPr>
          <w:rFonts w:hint="eastAsia" w:ascii="宋体" w:hAnsi="宋体" w:cs="宋体"/>
          <w:color w:val="auto"/>
          <w:sz w:val="24"/>
          <w:highlight w:val="none"/>
        </w:rPr>
        <w:t>投标人对本招标文件如有疑问，请在投标截止日5日前将疑问问题按投标邀请书中载明的邮政地址以有关法规规定的书面函件形式递交至采购人，超出上述截止时间提出的任何疑问，采购人可不予答复。所有疑问问题将于投标截止日3日前，将不标明查询来源的书面答疑文件以公告形式或其它书面形式通知已购买招标文件的每一投标人。且该答疑文件为招标文件的组成部分。</w:t>
      </w:r>
    </w:p>
    <w:p w14:paraId="42E97801">
      <w:pPr>
        <w:numPr>
          <w:ilvl w:val="0"/>
          <w:numId w:val="27"/>
        </w:numPr>
        <w:tabs>
          <w:tab w:val="clear" w:pos="850"/>
        </w:tabs>
        <w:adjustRightInd w:val="0"/>
        <w:snapToGrid w:val="0"/>
        <w:spacing w:line="360" w:lineRule="auto"/>
        <w:ind w:left="841" w:hanging="841"/>
        <w:rPr>
          <w:rFonts w:ascii="宋体" w:hAnsi="宋体" w:cs="宋体"/>
          <w:color w:val="auto"/>
          <w:sz w:val="24"/>
          <w:highlight w:val="none"/>
        </w:rPr>
      </w:pPr>
      <w:r>
        <w:rPr>
          <w:rFonts w:hint="eastAsia" w:ascii="宋体" w:hAnsi="宋体" w:cs="宋体"/>
          <w:color w:val="auto"/>
          <w:sz w:val="24"/>
          <w:highlight w:val="none"/>
        </w:rPr>
        <w:t>对于没有提出澄清又参与了该项目投标的供应商将被视为完全认同该招标文件（含澄清纪要），投标截止期后不再受理针对招标文件的相关质疑或投诉。</w:t>
      </w:r>
    </w:p>
    <w:p w14:paraId="4079984E">
      <w:pPr>
        <w:numPr>
          <w:ilvl w:val="0"/>
          <w:numId w:val="27"/>
        </w:numPr>
        <w:tabs>
          <w:tab w:val="clear" w:pos="850"/>
        </w:tabs>
        <w:adjustRightInd w:val="0"/>
        <w:snapToGrid w:val="0"/>
        <w:spacing w:line="360" w:lineRule="auto"/>
        <w:ind w:left="841" w:hanging="841"/>
        <w:rPr>
          <w:rFonts w:ascii="宋体" w:hAnsi="宋体" w:cs="宋体"/>
          <w:color w:val="auto"/>
          <w:sz w:val="24"/>
          <w:highlight w:val="none"/>
        </w:rPr>
      </w:pPr>
      <w:r>
        <w:rPr>
          <w:rFonts w:hint="eastAsia" w:ascii="宋体" w:hAnsi="宋体" w:cs="宋体"/>
          <w:color w:val="auto"/>
          <w:sz w:val="24"/>
          <w:highlight w:val="none"/>
        </w:rPr>
        <w:t>对招标文件中描述有歧意或前后不一致的地方，</w:t>
      </w:r>
      <w:r>
        <w:rPr>
          <w:rFonts w:hint="eastAsia" w:ascii="宋体" w:hAnsi="宋体" w:cs="宋体"/>
          <w:color w:val="auto"/>
          <w:sz w:val="24"/>
          <w:highlight w:val="none"/>
          <w:lang w:val="en-US" w:eastAsia="zh-CN"/>
        </w:rPr>
        <w:t>校内招投标小组</w:t>
      </w:r>
      <w:r>
        <w:rPr>
          <w:rFonts w:hint="eastAsia" w:ascii="宋体" w:hAnsi="宋体" w:cs="宋体"/>
          <w:color w:val="auto"/>
          <w:sz w:val="24"/>
          <w:highlight w:val="none"/>
        </w:rPr>
        <w:t>有权进行评判，但对同一条款的评判应适用于每个投标人。</w:t>
      </w:r>
    </w:p>
    <w:p w14:paraId="44AC7B01">
      <w:pPr>
        <w:widowControl/>
        <w:autoSpaceDE w:val="0"/>
        <w:autoSpaceDN w:val="0"/>
        <w:spacing w:line="360" w:lineRule="auto"/>
        <w:ind w:right="26"/>
        <w:jc w:val="left"/>
        <w:textAlignment w:val="bottom"/>
        <w:rPr>
          <w:rFonts w:ascii="宋体" w:hAnsi="宋体" w:cs="宋体"/>
          <w:color w:val="auto"/>
          <w:sz w:val="24"/>
          <w:highlight w:val="none"/>
        </w:rPr>
      </w:pPr>
    </w:p>
    <w:p w14:paraId="3C5BAF50">
      <w:pPr>
        <w:numPr>
          <w:ilvl w:val="0"/>
          <w:numId w:val="18"/>
        </w:numPr>
        <w:adjustRightInd w:val="0"/>
        <w:snapToGrid w:val="0"/>
        <w:spacing w:line="360" w:lineRule="auto"/>
        <w:ind w:left="857" w:hanging="857"/>
        <w:outlineLvl w:val="3"/>
        <w:rPr>
          <w:rFonts w:ascii="宋体" w:hAnsi="宋体" w:cs="宋体"/>
          <w:b/>
          <w:bCs/>
          <w:color w:val="auto"/>
          <w:sz w:val="24"/>
          <w:highlight w:val="none"/>
        </w:rPr>
      </w:pPr>
      <w:r>
        <w:rPr>
          <w:rFonts w:hint="eastAsia" w:ascii="宋体" w:hAnsi="宋体" w:cs="宋体"/>
          <w:b/>
          <w:bCs/>
          <w:color w:val="auto"/>
          <w:sz w:val="24"/>
          <w:highlight w:val="none"/>
        </w:rPr>
        <w:t>招标文件的修改</w:t>
      </w:r>
    </w:p>
    <w:p w14:paraId="62AD1C7E">
      <w:pPr>
        <w:numPr>
          <w:ilvl w:val="0"/>
          <w:numId w:val="28"/>
        </w:numPr>
        <w:tabs>
          <w:tab w:val="left" w:pos="284"/>
          <w:tab w:val="clear" w:pos="850"/>
        </w:tabs>
        <w:spacing w:line="360" w:lineRule="auto"/>
        <w:ind w:left="841" w:hanging="841"/>
        <w:rPr>
          <w:rFonts w:ascii="宋体" w:hAnsi="宋体" w:cs="宋体"/>
          <w:color w:val="auto"/>
          <w:sz w:val="24"/>
          <w:highlight w:val="none"/>
        </w:rPr>
      </w:pPr>
      <w:r>
        <w:rPr>
          <w:rFonts w:hint="eastAsia" w:ascii="宋体" w:hAnsi="宋体" w:cs="宋体"/>
          <w:color w:val="auto"/>
          <w:sz w:val="24"/>
          <w:highlight w:val="none"/>
        </w:rPr>
        <w:t>在投标截止日3日前，采购人可以对已发出的招标文件作出必要的修改。</w:t>
      </w:r>
    </w:p>
    <w:p w14:paraId="625E41A2">
      <w:pPr>
        <w:numPr>
          <w:ilvl w:val="0"/>
          <w:numId w:val="28"/>
        </w:numPr>
        <w:tabs>
          <w:tab w:val="left" w:pos="284"/>
          <w:tab w:val="clear" w:pos="850"/>
        </w:tabs>
        <w:spacing w:line="360" w:lineRule="auto"/>
        <w:ind w:left="841" w:hanging="841"/>
        <w:rPr>
          <w:rFonts w:ascii="宋体" w:hAnsi="宋体" w:cs="宋体"/>
          <w:color w:val="auto"/>
          <w:sz w:val="24"/>
          <w:highlight w:val="none"/>
        </w:rPr>
      </w:pPr>
      <w:r>
        <w:rPr>
          <w:rFonts w:hint="eastAsia" w:ascii="宋体" w:hAnsi="宋体" w:cs="宋体"/>
          <w:color w:val="auto"/>
          <w:sz w:val="24"/>
          <w:highlight w:val="none"/>
        </w:rPr>
        <w:t>招标文件的澄清、变更或修改将以公告形式或其它书面形式通知所有已购买招标文件的潜在投标人，并对其具有约束力。任何有关澄清、变更或者修改等一经在原公告媒体上发布即视为己送达，且其澄清、变更或修改的内容为招标文件的组成部分。</w:t>
      </w:r>
    </w:p>
    <w:p w14:paraId="4D495BEE">
      <w:pPr>
        <w:numPr>
          <w:ilvl w:val="0"/>
          <w:numId w:val="28"/>
        </w:numPr>
        <w:tabs>
          <w:tab w:val="left" w:pos="284"/>
          <w:tab w:val="clear" w:pos="850"/>
        </w:tabs>
        <w:spacing w:line="360" w:lineRule="auto"/>
        <w:ind w:left="841" w:hanging="841"/>
        <w:rPr>
          <w:rFonts w:ascii="宋体" w:hAnsi="宋体" w:cs="宋体"/>
          <w:color w:val="auto"/>
          <w:sz w:val="24"/>
          <w:highlight w:val="none"/>
        </w:rPr>
      </w:pPr>
      <w:r>
        <w:rPr>
          <w:rFonts w:hint="eastAsia" w:ascii="宋体" w:hAnsi="宋体" w:cs="宋体"/>
          <w:color w:val="auto"/>
          <w:sz w:val="24"/>
          <w:highlight w:val="none"/>
        </w:rPr>
        <w:t>为使投标人准备投标时有足够的时间对招标文件的修改部分进行研究，</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有权决定是否延长投标截止日期和推迟开标时间。当澄清或者修改的内容可能影响投标文件编制的，采购</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在要求提交投标文件的截止时间三日前，将变更时间以公告形式或其它书面形式通知所有购买招标文件投标人，不足三日的，将顺延提交投标文件的截止时间。变更时间一经在原公告媒体上发布即视为己送达。</w:t>
      </w:r>
    </w:p>
    <w:p w14:paraId="7E15EA5F">
      <w:pPr>
        <w:spacing w:before="240" w:after="24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 投标文件的编制</w:t>
      </w:r>
    </w:p>
    <w:p w14:paraId="2D08EE19">
      <w:pPr>
        <w:numPr>
          <w:ilvl w:val="0"/>
          <w:numId w:val="18"/>
        </w:numPr>
        <w:adjustRightInd w:val="0"/>
        <w:snapToGrid w:val="0"/>
        <w:spacing w:line="360" w:lineRule="auto"/>
        <w:ind w:left="857" w:hanging="857"/>
        <w:outlineLvl w:val="3"/>
        <w:rPr>
          <w:rFonts w:ascii="宋体" w:hAnsi="宋体" w:cs="宋体"/>
          <w:b/>
          <w:bCs/>
          <w:color w:val="auto"/>
          <w:sz w:val="24"/>
          <w:highlight w:val="none"/>
        </w:rPr>
      </w:pPr>
      <w:r>
        <w:rPr>
          <w:rFonts w:hint="eastAsia" w:ascii="宋体" w:hAnsi="宋体" w:cs="宋体"/>
          <w:b/>
          <w:bCs/>
          <w:color w:val="auto"/>
          <w:sz w:val="24"/>
          <w:highlight w:val="none"/>
        </w:rPr>
        <w:t>投标文件编制的原则</w:t>
      </w:r>
    </w:p>
    <w:p w14:paraId="34EB90D5">
      <w:pPr>
        <w:widowControl/>
        <w:numPr>
          <w:ilvl w:val="0"/>
          <w:numId w:val="29"/>
        </w:numPr>
        <w:tabs>
          <w:tab w:val="left" w:pos="0"/>
        </w:tabs>
        <w:autoSpaceDE w:val="0"/>
        <w:autoSpaceDN w:val="0"/>
        <w:spacing w:line="360" w:lineRule="auto"/>
        <w:ind w:left="841" w:right="26" w:hanging="841"/>
        <w:jc w:val="left"/>
        <w:textAlignment w:val="bottom"/>
        <w:rPr>
          <w:rFonts w:ascii="宋体" w:hAnsi="宋体" w:cs="宋体"/>
          <w:color w:val="auto"/>
          <w:sz w:val="24"/>
          <w:highlight w:val="none"/>
        </w:rPr>
      </w:pPr>
      <w:r>
        <w:rPr>
          <w:rFonts w:hint="eastAsia" w:ascii="宋体" w:hAnsi="宋体" w:cs="宋体"/>
          <w:color w:val="auto"/>
          <w:sz w:val="24"/>
          <w:highlight w:val="none"/>
        </w:rPr>
        <w:t>投标人应在认真阅读招标文件所有内容的基础上，按照招标文件的要求编制完整的投标文件。招标文件中对投标文件格式有要求的，投标人必须全部填写格式中要求的所有内容。无相应内容可填的项应填写“无”、“没有相应指标”等明确的回答文字。有具体数值的应填写具体数值，而不能笼统地响应为“符合”、“满足”等结论性内容。</w:t>
      </w:r>
    </w:p>
    <w:p w14:paraId="36CB864C">
      <w:pPr>
        <w:widowControl/>
        <w:numPr>
          <w:ilvl w:val="0"/>
          <w:numId w:val="29"/>
        </w:numPr>
        <w:tabs>
          <w:tab w:val="left" w:pos="0"/>
        </w:tabs>
        <w:autoSpaceDE w:val="0"/>
        <w:autoSpaceDN w:val="0"/>
        <w:spacing w:line="360" w:lineRule="auto"/>
        <w:ind w:left="841" w:right="26" w:hanging="841"/>
        <w:jc w:val="left"/>
        <w:textAlignment w:val="bottom"/>
        <w:rPr>
          <w:rFonts w:ascii="宋体" w:hAnsi="宋体" w:cs="宋体"/>
          <w:color w:val="auto"/>
          <w:sz w:val="24"/>
          <w:highlight w:val="none"/>
        </w:rPr>
      </w:pPr>
      <w:r>
        <w:rPr>
          <w:rFonts w:hint="eastAsia" w:ascii="宋体" w:hAnsi="宋体" w:cs="宋体"/>
          <w:color w:val="auto"/>
          <w:sz w:val="24"/>
          <w:highlight w:val="none"/>
        </w:rPr>
        <w:t>投标人必须保证投标文件所提供的全部信息和资料是真实的和正确的，并接受</w:t>
      </w:r>
      <w:r>
        <w:rPr>
          <w:rFonts w:hint="eastAsia" w:ascii="宋体" w:hAnsi="宋体" w:cs="宋体"/>
          <w:color w:val="auto"/>
          <w:sz w:val="24"/>
          <w:highlight w:val="none"/>
          <w:lang w:val="en-US" w:eastAsia="zh-CN"/>
        </w:rPr>
        <w:t>校内招投标小组</w:t>
      </w:r>
      <w:r>
        <w:rPr>
          <w:rFonts w:hint="eastAsia" w:ascii="宋体" w:hAnsi="宋体" w:cs="宋体"/>
          <w:color w:val="auto"/>
          <w:sz w:val="24"/>
          <w:highlight w:val="none"/>
        </w:rPr>
        <w:t>对其中任何资料进一步审查的要求。投标人提交的资料将被保密，但不退还。投标人投标文件所提供的有关证明文件，包括但不限于营业执照、机构登记证、经营许可证、生产许可证、产品注册证、第三方检测报告、质量体系证书、荣誉证书、奖励奖项等，都必须是国家机关签发、或在中国合法登记设立并有权有资质颁发相关证明文件的机构签发。</w:t>
      </w:r>
    </w:p>
    <w:p w14:paraId="360402F8">
      <w:pPr>
        <w:widowControl/>
        <w:numPr>
          <w:ilvl w:val="0"/>
          <w:numId w:val="29"/>
        </w:numPr>
        <w:tabs>
          <w:tab w:val="left" w:pos="0"/>
        </w:tabs>
        <w:autoSpaceDE w:val="0"/>
        <w:autoSpaceDN w:val="0"/>
        <w:spacing w:line="360" w:lineRule="auto"/>
        <w:ind w:left="841" w:right="26" w:hanging="841"/>
        <w:jc w:val="left"/>
        <w:textAlignment w:val="bottom"/>
        <w:rPr>
          <w:rFonts w:ascii="宋体" w:hAnsi="宋体" w:cs="宋体"/>
          <w:color w:val="auto"/>
          <w:sz w:val="24"/>
          <w:highlight w:val="none"/>
        </w:rPr>
      </w:pPr>
      <w:r>
        <w:rPr>
          <w:rFonts w:hint="eastAsia" w:ascii="宋体" w:hAnsi="宋体" w:cs="宋体"/>
          <w:color w:val="auto"/>
          <w:sz w:val="24"/>
          <w:highlight w:val="none"/>
        </w:rPr>
        <w:t>投标文件须对招标文件中的内容做出实质性和完整的响应，否则其投标将被视为无效标被拒绝。</w:t>
      </w:r>
    </w:p>
    <w:p w14:paraId="3AC27B19">
      <w:pPr>
        <w:widowControl/>
        <w:numPr>
          <w:ilvl w:val="0"/>
          <w:numId w:val="29"/>
        </w:numPr>
        <w:tabs>
          <w:tab w:val="left" w:pos="0"/>
        </w:tabs>
        <w:autoSpaceDE w:val="0"/>
        <w:autoSpaceDN w:val="0"/>
        <w:spacing w:line="360" w:lineRule="auto"/>
        <w:ind w:left="841" w:right="26" w:hanging="841"/>
        <w:jc w:val="left"/>
        <w:textAlignment w:val="bottom"/>
        <w:rPr>
          <w:rFonts w:ascii="宋体" w:hAnsi="宋体" w:cs="宋体"/>
          <w:color w:val="auto"/>
          <w:sz w:val="24"/>
          <w:highlight w:val="none"/>
        </w:rPr>
      </w:pPr>
      <w:r>
        <w:rPr>
          <w:rFonts w:hint="eastAsia" w:ascii="宋体" w:hAnsi="宋体" w:cs="宋体"/>
          <w:color w:val="auto"/>
          <w:sz w:val="24"/>
          <w:highlight w:val="none"/>
        </w:rPr>
        <w:t>投标文件的编制可在招标文件提供的格式基础上扩展加页。需投标人自行编写的投标内容，投标人应采用简洁、清晰的文件格式。投标文件编制格式其它特殊要求详见本须知前附表。</w:t>
      </w:r>
    </w:p>
    <w:p w14:paraId="2E79150A">
      <w:pPr>
        <w:widowControl/>
        <w:numPr>
          <w:ilvl w:val="0"/>
          <w:numId w:val="29"/>
        </w:numPr>
        <w:tabs>
          <w:tab w:val="left" w:pos="0"/>
        </w:tabs>
        <w:autoSpaceDE w:val="0"/>
        <w:autoSpaceDN w:val="0"/>
        <w:spacing w:line="360" w:lineRule="auto"/>
        <w:ind w:left="841" w:right="26" w:hanging="841"/>
        <w:jc w:val="left"/>
        <w:textAlignment w:val="bottom"/>
        <w:rPr>
          <w:rFonts w:ascii="宋体" w:hAnsi="宋体" w:cs="宋体"/>
          <w:color w:val="auto"/>
          <w:sz w:val="24"/>
          <w:highlight w:val="none"/>
        </w:rPr>
      </w:pPr>
      <w:r>
        <w:rPr>
          <w:rFonts w:hint="eastAsia" w:ascii="宋体" w:hAnsi="宋体" w:cs="宋体"/>
          <w:color w:val="auto"/>
          <w:sz w:val="24"/>
          <w:highlight w:val="none"/>
        </w:rPr>
        <w:t>投标人在投标文件中提供的有关证明文件（如营业执照、经营许可证、生产许可证、产品注册证、第三方检测报告、质量体系证书、荣誉证书、奖励奖项、产品说明书和样本等）等应为原件的复印件或者清晰的扫描件。</w:t>
      </w:r>
    </w:p>
    <w:p w14:paraId="1D13D331">
      <w:pPr>
        <w:rPr>
          <w:rFonts w:ascii="宋体" w:hAnsi="宋体" w:cs="宋体"/>
          <w:color w:val="auto"/>
          <w:sz w:val="24"/>
          <w:highlight w:val="none"/>
        </w:rPr>
      </w:pPr>
    </w:p>
    <w:p w14:paraId="03C11408">
      <w:pPr>
        <w:numPr>
          <w:ilvl w:val="0"/>
          <w:numId w:val="18"/>
        </w:numPr>
        <w:adjustRightInd w:val="0"/>
        <w:snapToGrid w:val="0"/>
        <w:spacing w:line="360" w:lineRule="auto"/>
        <w:ind w:left="857" w:hanging="857"/>
        <w:outlineLvl w:val="3"/>
        <w:rPr>
          <w:rFonts w:ascii="宋体" w:hAnsi="宋体" w:cs="宋体"/>
          <w:b/>
          <w:bCs/>
          <w:color w:val="auto"/>
          <w:sz w:val="24"/>
          <w:highlight w:val="none"/>
        </w:rPr>
      </w:pPr>
      <w:r>
        <w:rPr>
          <w:rFonts w:hint="eastAsia" w:ascii="宋体" w:hAnsi="宋体" w:cs="宋体"/>
          <w:b/>
          <w:bCs/>
          <w:color w:val="auto"/>
          <w:sz w:val="24"/>
          <w:highlight w:val="none"/>
        </w:rPr>
        <w:t>投标的语言和计量单位</w:t>
      </w:r>
    </w:p>
    <w:p w14:paraId="6A723512">
      <w:pPr>
        <w:widowControl/>
        <w:numPr>
          <w:ilvl w:val="0"/>
          <w:numId w:val="30"/>
        </w:numPr>
        <w:tabs>
          <w:tab w:val="left" w:pos="142"/>
        </w:tabs>
        <w:autoSpaceDE w:val="0"/>
        <w:autoSpaceDN w:val="0"/>
        <w:spacing w:line="360" w:lineRule="auto"/>
        <w:ind w:left="854" w:right="26" w:hanging="854"/>
        <w:jc w:val="left"/>
        <w:textAlignment w:val="bottom"/>
        <w:rPr>
          <w:rFonts w:ascii="宋体" w:hAnsi="宋体" w:cs="宋体"/>
          <w:color w:val="auto"/>
          <w:sz w:val="24"/>
          <w:highlight w:val="none"/>
        </w:rPr>
      </w:pPr>
      <w:r>
        <w:rPr>
          <w:rFonts w:hint="eastAsia" w:ascii="宋体" w:hAnsi="宋体" w:cs="宋体"/>
          <w:color w:val="auto"/>
          <w:sz w:val="24"/>
          <w:highlight w:val="none"/>
        </w:rPr>
        <w:t>投标人与</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BEB87B2">
      <w:pPr>
        <w:widowControl/>
        <w:numPr>
          <w:ilvl w:val="0"/>
          <w:numId w:val="30"/>
        </w:numPr>
        <w:tabs>
          <w:tab w:val="left" w:pos="142"/>
        </w:tabs>
        <w:autoSpaceDE w:val="0"/>
        <w:autoSpaceDN w:val="0"/>
        <w:spacing w:line="360" w:lineRule="auto"/>
        <w:ind w:left="854" w:right="26" w:hanging="854"/>
        <w:jc w:val="left"/>
        <w:textAlignment w:val="bottom"/>
        <w:rPr>
          <w:rFonts w:ascii="宋体" w:hAnsi="宋体" w:cs="宋体"/>
          <w:color w:val="auto"/>
          <w:sz w:val="24"/>
          <w:highlight w:val="none"/>
        </w:rPr>
      </w:pPr>
      <w:r>
        <w:rPr>
          <w:rFonts w:hint="eastAsia" w:ascii="宋体" w:hAnsi="宋体" w:cs="宋体"/>
          <w:color w:val="auto"/>
          <w:sz w:val="24"/>
          <w:highlight w:val="none"/>
        </w:rPr>
        <w:t>除技术规范另有规定外，投标文件使用的度量单位，均采用中华人民共和国法定计量单位。</w:t>
      </w:r>
    </w:p>
    <w:p w14:paraId="21E2CE6B">
      <w:pPr>
        <w:widowControl/>
        <w:tabs>
          <w:tab w:val="left" w:pos="284"/>
        </w:tabs>
        <w:autoSpaceDE w:val="0"/>
        <w:autoSpaceDN w:val="0"/>
        <w:spacing w:line="360" w:lineRule="auto"/>
        <w:ind w:right="26"/>
        <w:jc w:val="left"/>
        <w:textAlignment w:val="bottom"/>
        <w:rPr>
          <w:rFonts w:ascii="宋体" w:hAnsi="宋体" w:cs="宋体"/>
          <w:color w:val="auto"/>
          <w:sz w:val="24"/>
          <w:highlight w:val="none"/>
        </w:rPr>
      </w:pPr>
    </w:p>
    <w:p w14:paraId="29ED7420">
      <w:pPr>
        <w:numPr>
          <w:ilvl w:val="0"/>
          <w:numId w:val="18"/>
        </w:numPr>
        <w:adjustRightInd w:val="0"/>
        <w:snapToGrid w:val="0"/>
        <w:spacing w:line="360" w:lineRule="auto"/>
        <w:ind w:left="857" w:hanging="857"/>
        <w:outlineLvl w:val="3"/>
        <w:rPr>
          <w:rFonts w:ascii="宋体" w:hAnsi="宋体" w:cs="宋体"/>
          <w:b/>
          <w:bCs/>
          <w:color w:val="auto"/>
          <w:sz w:val="24"/>
          <w:highlight w:val="none"/>
        </w:rPr>
      </w:pPr>
      <w:r>
        <w:rPr>
          <w:rFonts w:hint="eastAsia" w:ascii="宋体" w:hAnsi="宋体" w:cs="宋体"/>
          <w:b/>
          <w:bCs/>
          <w:color w:val="auto"/>
          <w:sz w:val="24"/>
          <w:highlight w:val="none"/>
        </w:rPr>
        <w:t>投标文件的组成</w:t>
      </w:r>
    </w:p>
    <w:p w14:paraId="1F6E50B7">
      <w:pPr>
        <w:widowControl/>
        <w:numPr>
          <w:ilvl w:val="0"/>
          <w:numId w:val="31"/>
        </w:numPr>
        <w:tabs>
          <w:tab w:val="left" w:pos="142"/>
        </w:tabs>
        <w:autoSpaceDE w:val="0"/>
        <w:autoSpaceDN w:val="0"/>
        <w:spacing w:line="360" w:lineRule="auto"/>
        <w:ind w:left="854" w:right="26" w:hanging="854"/>
        <w:jc w:val="left"/>
        <w:textAlignment w:val="bottom"/>
        <w:rPr>
          <w:rFonts w:ascii="宋体" w:hAnsi="宋体" w:cs="宋体"/>
          <w:color w:val="auto"/>
          <w:sz w:val="24"/>
          <w:highlight w:val="none"/>
        </w:rPr>
      </w:pPr>
      <w:r>
        <w:rPr>
          <w:rFonts w:hint="eastAsia" w:ascii="宋体" w:hAnsi="宋体" w:cs="宋体"/>
          <w:color w:val="auto"/>
          <w:sz w:val="24"/>
          <w:highlight w:val="none"/>
        </w:rPr>
        <w:t>除非</w:t>
      </w:r>
      <w:r>
        <w:rPr>
          <w:rFonts w:hint="eastAsia" w:ascii="宋体" w:hAnsi="宋体" w:cs="宋体"/>
          <w:b/>
          <w:bCs/>
          <w:color w:val="auto"/>
          <w:sz w:val="24"/>
          <w:highlight w:val="none"/>
        </w:rPr>
        <w:t>《投标人须知前附表》</w:t>
      </w:r>
      <w:r>
        <w:rPr>
          <w:rFonts w:hint="eastAsia" w:ascii="宋体" w:hAnsi="宋体" w:cs="宋体"/>
          <w:color w:val="auto"/>
          <w:sz w:val="24"/>
          <w:highlight w:val="none"/>
        </w:rPr>
        <w:t>另有规定，不管是投标人单独投标或是作为投标联合体的成员参与投标，对每一个招标的最小单位（标、包或者品目），每个投标人只能提交一个投标。提交或参与了一个以上投标的投标人（作为分包人或允许或要求提交备选投标情况除外），其参与的全部投标将被视为无效。</w:t>
      </w:r>
    </w:p>
    <w:p w14:paraId="47A64DC6">
      <w:pPr>
        <w:widowControl/>
        <w:numPr>
          <w:ilvl w:val="0"/>
          <w:numId w:val="31"/>
        </w:numPr>
        <w:tabs>
          <w:tab w:val="left" w:pos="142"/>
        </w:tabs>
        <w:autoSpaceDE w:val="0"/>
        <w:autoSpaceDN w:val="0"/>
        <w:spacing w:line="360" w:lineRule="auto"/>
        <w:ind w:left="854" w:right="26" w:hanging="854"/>
        <w:jc w:val="left"/>
        <w:textAlignment w:val="bottom"/>
        <w:rPr>
          <w:rFonts w:ascii="宋体" w:hAnsi="宋体" w:cs="宋体"/>
          <w:color w:val="auto"/>
          <w:sz w:val="24"/>
          <w:highlight w:val="none"/>
        </w:rPr>
      </w:pPr>
      <w:r>
        <w:rPr>
          <w:rFonts w:hint="eastAsia" w:ascii="宋体" w:hAnsi="宋体" w:cs="宋体"/>
          <w:color w:val="auto"/>
          <w:sz w:val="24"/>
          <w:highlight w:val="none"/>
        </w:rPr>
        <w:t>投标人应完整地按招标文件提供的投标文件格式填写投标文件，具体投标文件格式</w:t>
      </w:r>
      <w:r>
        <w:rPr>
          <w:rFonts w:hint="eastAsia" w:ascii="宋体" w:hAnsi="宋体" w:cs="宋体"/>
          <w:b/>
          <w:bCs/>
          <w:color w:val="auto"/>
          <w:sz w:val="24"/>
          <w:highlight w:val="none"/>
        </w:rPr>
        <w:t>详见专用条款</w:t>
      </w:r>
      <w:r>
        <w:rPr>
          <w:rFonts w:hint="eastAsia" w:ascii="宋体" w:hAnsi="宋体" w:cs="宋体"/>
          <w:color w:val="auto"/>
          <w:sz w:val="24"/>
          <w:highlight w:val="none"/>
        </w:rPr>
        <w:t>。</w:t>
      </w:r>
    </w:p>
    <w:p w14:paraId="4DEBE9E2">
      <w:pPr>
        <w:pStyle w:val="36"/>
        <w:rPr>
          <w:color w:val="auto"/>
          <w:highlight w:val="none"/>
        </w:rPr>
      </w:pPr>
    </w:p>
    <w:p w14:paraId="0467DAB4">
      <w:pPr>
        <w:numPr>
          <w:ilvl w:val="0"/>
          <w:numId w:val="18"/>
        </w:numPr>
        <w:adjustRightInd w:val="0"/>
        <w:snapToGrid w:val="0"/>
        <w:spacing w:line="360" w:lineRule="auto"/>
        <w:ind w:left="857" w:hanging="857"/>
        <w:outlineLvl w:val="3"/>
        <w:rPr>
          <w:rFonts w:ascii="宋体" w:hAnsi="宋体" w:cs="宋体"/>
          <w:b/>
          <w:bCs/>
          <w:color w:val="auto"/>
          <w:sz w:val="24"/>
          <w:highlight w:val="none"/>
        </w:rPr>
      </w:pPr>
      <w:r>
        <w:rPr>
          <w:rFonts w:hint="eastAsia" w:ascii="宋体" w:hAnsi="宋体" w:cs="宋体"/>
          <w:b/>
          <w:bCs/>
          <w:color w:val="auto"/>
          <w:sz w:val="24"/>
          <w:highlight w:val="none"/>
        </w:rPr>
        <w:t>投标报价</w:t>
      </w:r>
    </w:p>
    <w:p w14:paraId="133607F4">
      <w:pPr>
        <w:widowControl/>
        <w:numPr>
          <w:ilvl w:val="0"/>
          <w:numId w:val="32"/>
        </w:numPr>
        <w:tabs>
          <w:tab w:val="left" w:pos="284"/>
        </w:tabs>
        <w:autoSpaceDE w:val="0"/>
        <w:autoSpaceDN w:val="0"/>
        <w:spacing w:line="360" w:lineRule="auto"/>
        <w:ind w:left="854" w:right="26" w:hanging="854"/>
        <w:jc w:val="left"/>
        <w:textAlignment w:val="bottom"/>
        <w:rPr>
          <w:rFonts w:ascii="宋体" w:hAnsi="宋体" w:cs="宋体"/>
          <w:color w:val="auto"/>
          <w:sz w:val="24"/>
          <w:highlight w:val="none"/>
        </w:rPr>
      </w:pPr>
      <w:r>
        <w:rPr>
          <w:rFonts w:hint="eastAsia" w:ascii="宋体" w:hAnsi="宋体" w:cs="宋体"/>
          <w:color w:val="auto"/>
          <w:sz w:val="24"/>
          <w:highlight w:val="none"/>
        </w:rPr>
        <w:t>所有投标均以人民币报价，以其它货币标价的投标将予以拒绝。投标人的投标报价应符合《中华人民共和国价格法》的有关规定。</w:t>
      </w:r>
    </w:p>
    <w:p w14:paraId="08B7706C">
      <w:pPr>
        <w:widowControl/>
        <w:numPr>
          <w:ilvl w:val="0"/>
          <w:numId w:val="32"/>
        </w:numPr>
        <w:tabs>
          <w:tab w:val="left" w:pos="284"/>
        </w:tabs>
        <w:autoSpaceDE w:val="0"/>
        <w:autoSpaceDN w:val="0"/>
        <w:spacing w:line="360" w:lineRule="auto"/>
        <w:ind w:left="854" w:right="26" w:hanging="854"/>
        <w:jc w:val="left"/>
        <w:textAlignment w:val="bottom"/>
        <w:rPr>
          <w:rFonts w:ascii="宋体" w:hAnsi="宋体" w:cs="宋体"/>
          <w:color w:val="auto"/>
          <w:sz w:val="24"/>
          <w:highlight w:val="none"/>
        </w:rPr>
      </w:pPr>
      <w:r>
        <w:rPr>
          <w:rFonts w:hint="eastAsia" w:ascii="宋体" w:hAnsi="宋体" w:cs="宋体"/>
          <w:color w:val="auto"/>
          <w:sz w:val="24"/>
          <w:highlight w:val="none"/>
        </w:rPr>
        <w:t>本项目服务费采用包干制，应包括服务成本、法定税费和企业的利润。由企业根据招标文件所提供的资料自行测算投标报价；一经中标，投标报价总价作为中标单位与采购</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签定的合同金额，合同期限内不做调整；</w:t>
      </w:r>
    </w:p>
    <w:p w14:paraId="3429519D">
      <w:pPr>
        <w:widowControl/>
        <w:numPr>
          <w:ilvl w:val="0"/>
          <w:numId w:val="32"/>
        </w:numPr>
        <w:tabs>
          <w:tab w:val="left" w:pos="284"/>
        </w:tabs>
        <w:autoSpaceDE w:val="0"/>
        <w:autoSpaceDN w:val="0"/>
        <w:spacing w:line="360" w:lineRule="auto"/>
        <w:ind w:left="854" w:right="26" w:hanging="854"/>
        <w:jc w:val="left"/>
        <w:textAlignment w:val="bottom"/>
        <w:rPr>
          <w:rFonts w:ascii="宋体" w:hAnsi="宋体" w:cs="宋体"/>
          <w:color w:val="auto"/>
          <w:sz w:val="24"/>
          <w:highlight w:val="none"/>
        </w:rPr>
      </w:pPr>
      <w:r>
        <w:rPr>
          <w:rFonts w:hint="eastAsia" w:ascii="宋体" w:hAnsi="宋体" w:cs="宋体"/>
          <w:color w:val="auto"/>
          <w:sz w:val="24"/>
          <w:highlight w:val="none"/>
        </w:rPr>
        <w:t>投标人在投标报价时，应充分考虑投标报价的风险，根据本企业的成本自行决定报价，但不得以低于其企业成本的报价投标。</w:t>
      </w:r>
    </w:p>
    <w:p w14:paraId="3F7E5ADA">
      <w:pPr>
        <w:widowControl/>
        <w:numPr>
          <w:ilvl w:val="0"/>
          <w:numId w:val="32"/>
        </w:numPr>
        <w:tabs>
          <w:tab w:val="left" w:pos="284"/>
        </w:tabs>
        <w:autoSpaceDE w:val="0"/>
        <w:autoSpaceDN w:val="0"/>
        <w:spacing w:line="360" w:lineRule="auto"/>
        <w:ind w:left="854" w:right="26" w:hanging="854"/>
        <w:jc w:val="left"/>
        <w:textAlignment w:val="bottom"/>
        <w:rPr>
          <w:rFonts w:ascii="宋体" w:hAnsi="宋体" w:cs="宋体"/>
          <w:color w:val="auto"/>
          <w:sz w:val="24"/>
          <w:highlight w:val="none"/>
        </w:rPr>
      </w:pPr>
      <w:r>
        <w:rPr>
          <w:rFonts w:hint="eastAsia" w:ascii="宋体" w:hAnsi="宋体" w:cs="宋体"/>
          <w:color w:val="auto"/>
          <w:sz w:val="24"/>
          <w:highlight w:val="none"/>
        </w:rPr>
        <w:t>投标人应在投标分项报价表上标明投标服务、货物和工程的单价（如适用）和总价，并由法定代表人或其授权代表签署。投标总价中不得包含招标文件要求以外的内容，否则，在评标时不予核减。</w:t>
      </w:r>
    </w:p>
    <w:p w14:paraId="3C995468">
      <w:pPr>
        <w:widowControl/>
        <w:numPr>
          <w:ilvl w:val="0"/>
          <w:numId w:val="32"/>
        </w:numPr>
        <w:tabs>
          <w:tab w:val="left" w:pos="284"/>
        </w:tabs>
        <w:autoSpaceDE w:val="0"/>
        <w:autoSpaceDN w:val="0"/>
        <w:spacing w:line="360" w:lineRule="auto"/>
        <w:ind w:left="854" w:right="26" w:hanging="854"/>
        <w:jc w:val="left"/>
        <w:textAlignment w:val="bottom"/>
        <w:rPr>
          <w:rFonts w:ascii="宋体" w:hAnsi="宋体" w:cs="宋体"/>
          <w:color w:val="auto"/>
          <w:sz w:val="24"/>
          <w:highlight w:val="none"/>
        </w:rPr>
      </w:pPr>
      <w:r>
        <w:rPr>
          <w:rFonts w:hint="eastAsia" w:ascii="宋体" w:hAnsi="宋体" w:cs="宋体"/>
          <w:color w:val="auto"/>
          <w:sz w:val="24"/>
          <w:highlight w:val="none"/>
        </w:rPr>
        <w:t>投标分项报价上的价格应按下列方式填写：</w:t>
      </w:r>
    </w:p>
    <w:p w14:paraId="2F012F44">
      <w:pPr>
        <w:widowControl/>
        <w:tabs>
          <w:tab w:val="left" w:pos="284"/>
        </w:tabs>
        <w:autoSpaceDE w:val="0"/>
        <w:autoSpaceDN w:val="0"/>
        <w:spacing w:line="360" w:lineRule="auto"/>
        <w:ind w:left="840" w:leftChars="400" w:right="26"/>
        <w:jc w:val="left"/>
        <w:textAlignment w:val="bottom"/>
        <w:rPr>
          <w:rFonts w:ascii="宋体" w:hAnsi="宋体" w:cs="宋体"/>
          <w:color w:val="auto"/>
          <w:sz w:val="24"/>
          <w:highlight w:val="none"/>
        </w:rPr>
      </w:pPr>
      <w:r>
        <w:rPr>
          <w:rFonts w:hint="eastAsia" w:ascii="宋体" w:hAnsi="宋体" w:cs="宋体"/>
          <w:color w:val="auto"/>
          <w:sz w:val="24"/>
          <w:highlight w:val="none"/>
        </w:rPr>
        <w:t>1）分项列明有关服务、货物和工程的单价及总价；</w:t>
      </w:r>
    </w:p>
    <w:p w14:paraId="3E4A8B9B">
      <w:pPr>
        <w:widowControl/>
        <w:tabs>
          <w:tab w:val="left" w:pos="284"/>
        </w:tabs>
        <w:autoSpaceDE w:val="0"/>
        <w:autoSpaceDN w:val="0"/>
        <w:spacing w:line="360" w:lineRule="auto"/>
        <w:ind w:left="840" w:leftChars="400" w:right="26"/>
        <w:jc w:val="left"/>
        <w:textAlignment w:val="bottom"/>
        <w:rPr>
          <w:rFonts w:ascii="宋体" w:hAnsi="宋体" w:cs="宋体"/>
          <w:color w:val="auto"/>
          <w:sz w:val="24"/>
          <w:highlight w:val="none"/>
        </w:rPr>
      </w:pPr>
      <w:r>
        <w:rPr>
          <w:rFonts w:hint="eastAsia" w:ascii="宋体" w:hAnsi="宋体" w:cs="宋体"/>
          <w:color w:val="auto"/>
          <w:sz w:val="24"/>
          <w:highlight w:val="none"/>
        </w:rPr>
        <w:t>2）与本服务项目有关的货物（如有）运至最终目的地并安装调试完毕的运输费和保险费用和伴随货物交运的有关费用；</w:t>
      </w:r>
    </w:p>
    <w:p w14:paraId="3F5C02D3">
      <w:pPr>
        <w:widowControl/>
        <w:tabs>
          <w:tab w:val="left" w:pos="284"/>
        </w:tabs>
        <w:autoSpaceDE w:val="0"/>
        <w:autoSpaceDN w:val="0"/>
        <w:spacing w:line="360" w:lineRule="auto"/>
        <w:ind w:left="840" w:leftChars="400" w:right="26"/>
        <w:jc w:val="left"/>
        <w:textAlignment w:val="bottom"/>
        <w:rPr>
          <w:rFonts w:ascii="宋体" w:hAnsi="宋体" w:cs="宋体"/>
          <w:color w:val="auto"/>
          <w:sz w:val="24"/>
          <w:highlight w:val="none"/>
        </w:rPr>
      </w:pPr>
      <w:r>
        <w:rPr>
          <w:rFonts w:hint="eastAsia" w:ascii="宋体" w:hAnsi="宋体" w:cs="宋体"/>
          <w:color w:val="auto"/>
          <w:sz w:val="24"/>
          <w:highlight w:val="none"/>
        </w:rPr>
        <w:t>3）报投标资料表中列出的其他伴随服务的费用（如有）。</w:t>
      </w:r>
    </w:p>
    <w:p w14:paraId="0E8B8E52">
      <w:pPr>
        <w:widowControl/>
        <w:numPr>
          <w:ilvl w:val="0"/>
          <w:numId w:val="32"/>
        </w:numPr>
        <w:tabs>
          <w:tab w:val="left" w:pos="284"/>
        </w:tabs>
        <w:autoSpaceDE w:val="0"/>
        <w:autoSpaceDN w:val="0"/>
        <w:spacing w:line="360" w:lineRule="auto"/>
        <w:ind w:left="854" w:right="26" w:hanging="854"/>
        <w:jc w:val="left"/>
        <w:textAlignment w:val="bottom"/>
        <w:rPr>
          <w:rFonts w:ascii="宋体" w:hAnsi="宋体" w:cs="宋体"/>
          <w:color w:val="auto"/>
          <w:sz w:val="24"/>
          <w:highlight w:val="none"/>
        </w:rPr>
      </w:pPr>
      <w:bookmarkStart w:id="30" w:name="_Toc3652"/>
      <w:r>
        <w:rPr>
          <w:rFonts w:hint="eastAsia" w:ascii="宋体" w:hAnsi="宋体" w:cs="宋体"/>
          <w:color w:val="auto"/>
          <w:sz w:val="24"/>
          <w:highlight w:val="none"/>
        </w:rPr>
        <w:t>投标人的投标报价不得超过项目预算限额；</w:t>
      </w:r>
      <w:bookmarkEnd w:id="30"/>
    </w:p>
    <w:p w14:paraId="1D6466F1">
      <w:pPr>
        <w:widowControl/>
        <w:numPr>
          <w:ilvl w:val="0"/>
          <w:numId w:val="32"/>
        </w:numPr>
        <w:tabs>
          <w:tab w:val="left" w:pos="284"/>
        </w:tabs>
        <w:autoSpaceDE w:val="0"/>
        <w:autoSpaceDN w:val="0"/>
        <w:spacing w:line="360" w:lineRule="auto"/>
        <w:ind w:left="854" w:right="26" w:hanging="854"/>
        <w:jc w:val="left"/>
        <w:textAlignment w:val="bottom"/>
        <w:rPr>
          <w:rFonts w:ascii="宋体" w:hAnsi="宋体" w:cs="宋体"/>
          <w:color w:val="auto"/>
          <w:sz w:val="24"/>
          <w:highlight w:val="none"/>
        </w:rPr>
      </w:pPr>
      <w:r>
        <w:rPr>
          <w:rFonts w:hint="eastAsia" w:ascii="宋体" w:hAnsi="宋体" w:cs="宋体"/>
          <w:color w:val="auto"/>
          <w:sz w:val="24"/>
          <w:highlight w:val="none"/>
        </w:rPr>
        <w:t>投标人的投标报价，应是本项目招标范围和招标文件及合同条款上所列的各项内容中所述的全部，不得以任何理由予以重复，并以投标人在投标文件中提出的综合单价或总价为依据；</w:t>
      </w:r>
    </w:p>
    <w:p w14:paraId="08685B11">
      <w:pPr>
        <w:widowControl/>
        <w:numPr>
          <w:ilvl w:val="0"/>
          <w:numId w:val="32"/>
        </w:numPr>
        <w:tabs>
          <w:tab w:val="left" w:pos="284"/>
        </w:tabs>
        <w:autoSpaceDE w:val="0"/>
        <w:autoSpaceDN w:val="0"/>
        <w:spacing w:line="360" w:lineRule="auto"/>
        <w:ind w:left="854" w:right="26" w:hanging="854"/>
        <w:jc w:val="left"/>
        <w:textAlignment w:val="bottom"/>
        <w:rPr>
          <w:rFonts w:ascii="宋体" w:hAnsi="宋体" w:cs="宋体"/>
          <w:color w:val="auto"/>
          <w:sz w:val="24"/>
          <w:highlight w:val="none"/>
        </w:rPr>
      </w:pPr>
      <w:r>
        <w:rPr>
          <w:rFonts w:hint="eastAsia" w:ascii="宋体" w:hAnsi="宋体" w:cs="宋体"/>
          <w:color w:val="auto"/>
          <w:sz w:val="24"/>
          <w:highlight w:val="none"/>
        </w:rPr>
        <w:t>除非有相关正式通知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6E3B8BF9">
      <w:pPr>
        <w:widowControl/>
        <w:numPr>
          <w:ilvl w:val="0"/>
          <w:numId w:val="32"/>
        </w:numPr>
        <w:tabs>
          <w:tab w:val="left" w:pos="284"/>
        </w:tabs>
        <w:autoSpaceDE w:val="0"/>
        <w:autoSpaceDN w:val="0"/>
        <w:spacing w:line="360" w:lineRule="auto"/>
        <w:ind w:left="854" w:right="26" w:hanging="854"/>
        <w:jc w:val="left"/>
        <w:textAlignment w:val="bottom"/>
        <w:rPr>
          <w:rFonts w:ascii="宋体" w:hAnsi="宋体" w:cs="宋体"/>
          <w:color w:val="auto"/>
          <w:sz w:val="24"/>
          <w:highlight w:val="none"/>
        </w:rPr>
      </w:pPr>
      <w:bookmarkStart w:id="31" w:name="_Toc23708"/>
      <w:r>
        <w:rPr>
          <w:rFonts w:hint="eastAsia" w:ascii="宋体" w:hAnsi="宋体" w:cs="宋体"/>
          <w:color w:val="auto"/>
          <w:sz w:val="24"/>
          <w:highlight w:val="none"/>
        </w:rPr>
        <w:t>服务地点详见</w:t>
      </w:r>
      <w:r>
        <w:rPr>
          <w:rFonts w:hint="eastAsia" w:ascii="宋体" w:hAnsi="宋体" w:cs="宋体"/>
          <w:b/>
          <w:bCs/>
          <w:color w:val="auto"/>
          <w:sz w:val="24"/>
          <w:highlight w:val="none"/>
        </w:rPr>
        <w:t>《投标人须知前附表》。</w:t>
      </w:r>
      <w:bookmarkEnd w:id="31"/>
    </w:p>
    <w:p w14:paraId="3F3F4D6C">
      <w:pPr>
        <w:widowControl/>
        <w:numPr>
          <w:ilvl w:val="0"/>
          <w:numId w:val="32"/>
        </w:numPr>
        <w:tabs>
          <w:tab w:val="left" w:pos="284"/>
        </w:tabs>
        <w:autoSpaceDE w:val="0"/>
        <w:autoSpaceDN w:val="0"/>
        <w:spacing w:line="360" w:lineRule="auto"/>
        <w:ind w:left="854" w:right="26" w:hanging="854"/>
        <w:jc w:val="left"/>
        <w:textAlignment w:val="bottom"/>
        <w:rPr>
          <w:rFonts w:ascii="宋体" w:hAnsi="宋体" w:cs="宋体"/>
          <w:color w:val="auto"/>
          <w:sz w:val="24"/>
          <w:highlight w:val="none"/>
        </w:rPr>
      </w:pPr>
      <w:r>
        <w:rPr>
          <w:rFonts w:hint="eastAsia" w:ascii="宋体" w:hAnsi="宋体" w:cs="宋体"/>
          <w:color w:val="auto"/>
          <w:sz w:val="24"/>
          <w:highlight w:val="none"/>
        </w:rPr>
        <w:t>投标人根据项目内容做出的价格分项，只是为了方便采购人对投标文件进行比较，并不限制采购人以不同的条件签订合同的权利。</w:t>
      </w:r>
    </w:p>
    <w:p w14:paraId="1A63BB93">
      <w:pPr>
        <w:widowControl/>
        <w:numPr>
          <w:ilvl w:val="0"/>
          <w:numId w:val="32"/>
        </w:numPr>
        <w:tabs>
          <w:tab w:val="left" w:pos="284"/>
        </w:tabs>
        <w:autoSpaceDE w:val="0"/>
        <w:autoSpaceDN w:val="0"/>
        <w:spacing w:line="360" w:lineRule="auto"/>
        <w:ind w:left="854" w:right="26" w:hanging="854"/>
        <w:jc w:val="left"/>
        <w:textAlignment w:val="bottom"/>
        <w:rPr>
          <w:rFonts w:ascii="宋体" w:hAnsi="宋体" w:cs="宋体"/>
          <w:color w:val="auto"/>
          <w:sz w:val="24"/>
          <w:highlight w:val="none"/>
        </w:rPr>
      </w:pPr>
      <w:r>
        <w:rPr>
          <w:rFonts w:hint="eastAsia" w:ascii="宋体" w:hAnsi="宋体" w:cs="宋体"/>
          <w:color w:val="auto"/>
          <w:sz w:val="24"/>
          <w:highlight w:val="none"/>
        </w:rPr>
        <w:t>除非另有规定，投标人所报的投标价在合同执行过程中是固定不变的，不得以任何理由予以变更，任何包含价格调整要求的投标，根据</w:t>
      </w:r>
      <w:r>
        <w:rPr>
          <w:rFonts w:hint="eastAsia" w:ascii="宋体" w:hAnsi="宋体" w:cs="宋体"/>
          <w:b/>
          <w:bCs/>
          <w:color w:val="auto"/>
          <w:sz w:val="24"/>
          <w:highlight w:val="none"/>
        </w:rPr>
        <w:t>第26款规定</w:t>
      </w:r>
      <w:r>
        <w:rPr>
          <w:rFonts w:hint="eastAsia" w:ascii="宋体" w:hAnsi="宋体" w:cs="宋体"/>
          <w:color w:val="auto"/>
          <w:sz w:val="24"/>
          <w:highlight w:val="none"/>
        </w:rPr>
        <w:t>将被认为是非实质性响应投标而予以拒绝。</w:t>
      </w:r>
    </w:p>
    <w:p w14:paraId="57921283">
      <w:pPr>
        <w:widowControl/>
        <w:numPr>
          <w:ilvl w:val="0"/>
          <w:numId w:val="32"/>
        </w:numPr>
        <w:tabs>
          <w:tab w:val="left" w:pos="284"/>
        </w:tabs>
        <w:autoSpaceDE w:val="0"/>
        <w:autoSpaceDN w:val="0"/>
        <w:spacing w:line="360" w:lineRule="auto"/>
        <w:ind w:left="854" w:right="26" w:hanging="854"/>
        <w:jc w:val="left"/>
        <w:textAlignment w:val="bottom"/>
        <w:rPr>
          <w:rFonts w:ascii="宋体" w:hAnsi="宋体" w:cs="宋体"/>
          <w:color w:val="auto"/>
          <w:sz w:val="24"/>
          <w:highlight w:val="none"/>
        </w:rPr>
      </w:pPr>
      <w:r>
        <w:rPr>
          <w:rFonts w:hint="eastAsia" w:ascii="宋体" w:hAnsi="宋体" w:cs="宋体"/>
          <w:color w:val="auto"/>
          <w:sz w:val="24"/>
          <w:highlight w:val="none"/>
        </w:rPr>
        <w:t>每种货物或服务只能有一个投标报价，任何有选择的报价将不予接受，并将导致投标无效。</w:t>
      </w:r>
    </w:p>
    <w:p w14:paraId="038F86BE">
      <w:pPr>
        <w:widowControl/>
        <w:tabs>
          <w:tab w:val="left" w:pos="142"/>
        </w:tabs>
        <w:autoSpaceDE w:val="0"/>
        <w:autoSpaceDN w:val="0"/>
        <w:spacing w:line="360" w:lineRule="auto"/>
        <w:ind w:right="26"/>
        <w:jc w:val="left"/>
        <w:textAlignment w:val="bottom"/>
        <w:rPr>
          <w:rFonts w:ascii="宋体" w:hAnsi="宋体" w:cs="宋体"/>
          <w:color w:val="auto"/>
          <w:sz w:val="24"/>
          <w:highlight w:val="none"/>
        </w:rPr>
      </w:pPr>
    </w:p>
    <w:p w14:paraId="4FE65DCA">
      <w:pPr>
        <w:numPr>
          <w:ilvl w:val="0"/>
          <w:numId w:val="18"/>
        </w:numPr>
        <w:adjustRightInd w:val="0"/>
        <w:snapToGrid w:val="0"/>
        <w:spacing w:line="360" w:lineRule="auto"/>
        <w:ind w:left="857" w:hanging="857"/>
        <w:outlineLvl w:val="3"/>
        <w:rPr>
          <w:rFonts w:ascii="宋体" w:hAnsi="宋体" w:cs="宋体"/>
          <w:b/>
          <w:bCs/>
          <w:color w:val="auto"/>
          <w:sz w:val="24"/>
          <w:highlight w:val="none"/>
        </w:rPr>
      </w:pPr>
      <w:r>
        <w:rPr>
          <w:rFonts w:hint="eastAsia" w:ascii="宋体" w:hAnsi="宋体" w:cs="宋体"/>
          <w:b/>
          <w:bCs/>
          <w:color w:val="auto"/>
          <w:sz w:val="24"/>
          <w:highlight w:val="none"/>
        </w:rPr>
        <w:t>投标货币</w:t>
      </w:r>
    </w:p>
    <w:p w14:paraId="48DE8970">
      <w:pPr>
        <w:widowControl/>
        <w:numPr>
          <w:ilvl w:val="0"/>
          <w:numId w:val="33"/>
        </w:numPr>
        <w:tabs>
          <w:tab w:val="left" w:pos="284"/>
        </w:tabs>
        <w:autoSpaceDE w:val="0"/>
        <w:autoSpaceDN w:val="0"/>
        <w:spacing w:line="360" w:lineRule="auto"/>
        <w:ind w:left="854" w:right="26" w:hanging="854"/>
        <w:jc w:val="left"/>
        <w:textAlignment w:val="bottom"/>
        <w:rPr>
          <w:rFonts w:ascii="宋体" w:hAnsi="宋体" w:cs="宋体"/>
          <w:color w:val="auto"/>
          <w:sz w:val="24"/>
          <w:highlight w:val="none"/>
        </w:rPr>
      </w:pPr>
      <w:r>
        <w:rPr>
          <w:rFonts w:hint="eastAsia" w:ascii="宋体" w:hAnsi="宋体" w:cs="宋体"/>
          <w:color w:val="auto"/>
          <w:sz w:val="24"/>
          <w:highlight w:val="none"/>
        </w:rPr>
        <w:t>投标人应以</w:t>
      </w:r>
      <w:r>
        <w:rPr>
          <w:rFonts w:hint="eastAsia" w:ascii="宋体" w:hAnsi="宋体" w:cs="宋体"/>
          <w:b/>
          <w:bCs/>
          <w:color w:val="auto"/>
          <w:sz w:val="24"/>
          <w:highlight w:val="none"/>
        </w:rPr>
        <w:t>《投标人须知前附表》</w:t>
      </w:r>
      <w:r>
        <w:rPr>
          <w:rFonts w:hint="eastAsia" w:ascii="宋体" w:hAnsi="宋体" w:cs="宋体"/>
          <w:color w:val="auto"/>
          <w:sz w:val="24"/>
          <w:highlight w:val="none"/>
        </w:rPr>
        <w:t>规定的货币进行报价，以其它货币标价的投标将予以拒绝。</w:t>
      </w:r>
    </w:p>
    <w:p w14:paraId="133621F8">
      <w:pPr>
        <w:widowControl/>
        <w:tabs>
          <w:tab w:val="left" w:pos="284"/>
        </w:tabs>
        <w:autoSpaceDE w:val="0"/>
        <w:autoSpaceDN w:val="0"/>
        <w:spacing w:line="360" w:lineRule="auto"/>
        <w:ind w:right="26"/>
        <w:jc w:val="left"/>
        <w:textAlignment w:val="bottom"/>
        <w:rPr>
          <w:rFonts w:ascii="宋体" w:hAnsi="宋体" w:cs="宋体"/>
          <w:color w:val="auto"/>
          <w:sz w:val="24"/>
          <w:highlight w:val="none"/>
        </w:rPr>
      </w:pPr>
    </w:p>
    <w:p w14:paraId="3578ED54">
      <w:pPr>
        <w:numPr>
          <w:ilvl w:val="0"/>
          <w:numId w:val="18"/>
        </w:numPr>
        <w:adjustRightInd w:val="0"/>
        <w:snapToGrid w:val="0"/>
        <w:spacing w:line="360" w:lineRule="auto"/>
        <w:ind w:left="857" w:hanging="857"/>
        <w:outlineLvl w:val="3"/>
        <w:rPr>
          <w:rFonts w:ascii="宋体" w:hAnsi="宋体" w:cs="宋体"/>
          <w:b/>
          <w:bCs/>
          <w:color w:val="auto"/>
          <w:sz w:val="24"/>
          <w:highlight w:val="none"/>
        </w:rPr>
      </w:pPr>
      <w:r>
        <w:rPr>
          <w:rFonts w:hint="eastAsia" w:ascii="宋体" w:hAnsi="宋体" w:cs="宋体"/>
          <w:b/>
          <w:bCs/>
          <w:color w:val="auto"/>
          <w:sz w:val="24"/>
          <w:highlight w:val="none"/>
        </w:rPr>
        <w:t>投标人的合格性和资格的声明文件</w:t>
      </w:r>
    </w:p>
    <w:p w14:paraId="1E9DAB9C">
      <w:pPr>
        <w:widowControl/>
        <w:numPr>
          <w:ilvl w:val="0"/>
          <w:numId w:val="34"/>
        </w:numPr>
        <w:autoSpaceDE w:val="0"/>
        <w:autoSpaceDN w:val="0"/>
        <w:spacing w:line="360" w:lineRule="auto"/>
        <w:ind w:left="854" w:right="26" w:hanging="854"/>
        <w:jc w:val="left"/>
        <w:textAlignment w:val="bottom"/>
        <w:rPr>
          <w:rFonts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b/>
          <w:bCs/>
          <w:color w:val="auto"/>
          <w:sz w:val="24"/>
          <w:highlight w:val="none"/>
        </w:rPr>
        <w:t>第14.2款</w:t>
      </w:r>
      <w:r>
        <w:rPr>
          <w:rFonts w:hint="eastAsia" w:ascii="宋体" w:hAnsi="宋体" w:cs="宋体"/>
          <w:color w:val="auto"/>
          <w:sz w:val="24"/>
          <w:highlight w:val="none"/>
        </w:rPr>
        <w:t>规定，投标人须提交证明其有资格进行投标和有能力履行合同的文件，作为投标文件的一部分。</w:t>
      </w:r>
    </w:p>
    <w:p w14:paraId="05041FFE">
      <w:pPr>
        <w:widowControl/>
        <w:numPr>
          <w:ilvl w:val="0"/>
          <w:numId w:val="34"/>
        </w:numPr>
        <w:autoSpaceDE w:val="0"/>
        <w:autoSpaceDN w:val="0"/>
        <w:spacing w:line="360" w:lineRule="auto"/>
        <w:ind w:left="854" w:right="26" w:hanging="854"/>
        <w:jc w:val="left"/>
        <w:textAlignment w:val="bottom"/>
        <w:rPr>
          <w:rFonts w:ascii="宋体" w:hAnsi="宋体" w:cs="宋体"/>
          <w:color w:val="auto"/>
          <w:sz w:val="24"/>
          <w:highlight w:val="none"/>
        </w:rPr>
      </w:pPr>
      <w:r>
        <w:rPr>
          <w:rFonts w:hint="eastAsia" w:ascii="宋体" w:hAnsi="宋体" w:cs="宋体"/>
          <w:color w:val="auto"/>
          <w:sz w:val="24"/>
          <w:highlight w:val="none"/>
        </w:rPr>
        <w:t>投标人提供的证明其中标后能履行合同的资格证明文件应包括以下文件：</w:t>
      </w:r>
    </w:p>
    <w:p w14:paraId="372D7318">
      <w:pPr>
        <w:widowControl/>
        <w:autoSpaceDE w:val="0"/>
        <w:autoSpaceDN w:val="0"/>
        <w:spacing w:line="360" w:lineRule="auto"/>
        <w:ind w:left="840" w:leftChars="400" w:right="26"/>
        <w:jc w:val="left"/>
        <w:textAlignment w:val="bottom"/>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rPr>
        <w:tab/>
      </w:r>
      <w:r>
        <w:rPr>
          <w:rFonts w:hint="eastAsia" w:ascii="宋体" w:hAnsi="宋体" w:cs="宋体"/>
          <w:color w:val="auto"/>
          <w:sz w:val="24"/>
          <w:highlight w:val="none"/>
        </w:rPr>
        <w:t>对于要求授权的货物（如有）或服务，若不是投标人制造或生产的，那么投标人须得到货物制造商出具的中华人民共和国境内提供这些货物的正式授权；</w:t>
      </w:r>
    </w:p>
    <w:p w14:paraId="2B2968D2">
      <w:pPr>
        <w:widowControl/>
        <w:autoSpaceDE w:val="0"/>
        <w:autoSpaceDN w:val="0"/>
        <w:spacing w:line="360" w:lineRule="auto"/>
        <w:ind w:left="840" w:leftChars="400" w:right="26"/>
        <w:jc w:val="left"/>
        <w:textAlignment w:val="bottom"/>
        <w:rPr>
          <w:rFonts w:ascii="宋体" w:hAnsi="宋体" w:cs="宋体"/>
          <w:color w:val="auto"/>
          <w:sz w:val="24"/>
          <w:highlight w:val="none"/>
        </w:rPr>
      </w:pPr>
      <w:r>
        <w:rPr>
          <w:rFonts w:hint="eastAsia" w:ascii="宋体" w:hAnsi="宋体" w:cs="宋体"/>
          <w:color w:val="auto"/>
          <w:sz w:val="24"/>
          <w:highlight w:val="none"/>
        </w:rPr>
        <w:t>2）投标人具有履行合同所需的财务、技术和生产能力；</w:t>
      </w:r>
    </w:p>
    <w:p w14:paraId="6A63A4C4">
      <w:pPr>
        <w:widowControl/>
        <w:autoSpaceDE w:val="0"/>
        <w:autoSpaceDN w:val="0"/>
        <w:spacing w:line="360" w:lineRule="auto"/>
        <w:ind w:left="840" w:leftChars="400" w:right="26"/>
        <w:jc w:val="left"/>
        <w:textAlignment w:val="bottom"/>
        <w:rPr>
          <w:rFonts w:ascii="宋体" w:hAnsi="宋体" w:cs="宋体"/>
          <w:color w:val="auto"/>
          <w:sz w:val="24"/>
          <w:highlight w:val="none"/>
        </w:rPr>
      </w:pPr>
      <w:r>
        <w:rPr>
          <w:rFonts w:hint="eastAsia" w:ascii="宋体" w:hAnsi="宋体" w:cs="宋体"/>
          <w:color w:val="auto"/>
          <w:sz w:val="24"/>
          <w:highlight w:val="none"/>
        </w:rPr>
        <w:t>3）投标人应填写并提交招标文件上所附的“资格证明文件”；</w:t>
      </w:r>
    </w:p>
    <w:p w14:paraId="5C7F13B6">
      <w:pPr>
        <w:widowControl/>
        <w:autoSpaceDE w:val="0"/>
        <w:autoSpaceDN w:val="0"/>
        <w:spacing w:line="360" w:lineRule="auto"/>
        <w:ind w:left="840" w:leftChars="400" w:right="26"/>
        <w:jc w:val="left"/>
        <w:textAlignment w:val="bottom"/>
        <w:rPr>
          <w:rFonts w:ascii="宋体" w:hAnsi="宋体" w:cs="宋体"/>
          <w:color w:val="auto"/>
          <w:sz w:val="24"/>
          <w:highlight w:val="none"/>
        </w:rPr>
      </w:pPr>
      <w:r>
        <w:rPr>
          <w:rFonts w:hint="eastAsia" w:ascii="宋体" w:hAnsi="宋体" w:cs="宋体"/>
          <w:color w:val="auto"/>
          <w:sz w:val="24"/>
          <w:highlight w:val="none"/>
        </w:rPr>
        <w:t>4）招标文件中要求的其他资格证明文件。</w:t>
      </w:r>
    </w:p>
    <w:p w14:paraId="67D5F3ED">
      <w:pPr>
        <w:widowControl/>
        <w:tabs>
          <w:tab w:val="left" w:pos="284"/>
        </w:tabs>
        <w:autoSpaceDE w:val="0"/>
        <w:autoSpaceDN w:val="0"/>
        <w:spacing w:line="360" w:lineRule="auto"/>
        <w:ind w:right="26"/>
        <w:jc w:val="left"/>
        <w:textAlignment w:val="bottom"/>
        <w:rPr>
          <w:rFonts w:ascii="宋体" w:hAnsi="宋体" w:cs="宋体"/>
          <w:color w:val="auto"/>
          <w:sz w:val="24"/>
          <w:highlight w:val="none"/>
        </w:rPr>
      </w:pPr>
    </w:p>
    <w:p w14:paraId="02309776">
      <w:pPr>
        <w:numPr>
          <w:ilvl w:val="0"/>
          <w:numId w:val="18"/>
        </w:numPr>
        <w:adjustRightInd w:val="0"/>
        <w:snapToGrid w:val="0"/>
        <w:spacing w:line="360" w:lineRule="auto"/>
        <w:ind w:left="857" w:hanging="857"/>
        <w:outlineLvl w:val="3"/>
        <w:rPr>
          <w:rFonts w:ascii="宋体" w:hAnsi="宋体" w:cs="宋体"/>
          <w:b/>
          <w:bCs/>
          <w:color w:val="auto"/>
          <w:sz w:val="24"/>
          <w:highlight w:val="none"/>
        </w:rPr>
      </w:pPr>
      <w:r>
        <w:rPr>
          <w:rFonts w:hint="eastAsia" w:ascii="宋体" w:hAnsi="宋体" w:cs="宋体"/>
          <w:b/>
          <w:bCs/>
          <w:color w:val="auto"/>
          <w:sz w:val="24"/>
          <w:highlight w:val="none"/>
        </w:rPr>
        <w:t>货物（如有）或服务的合格性并符合招标文件规定的声明文件</w:t>
      </w:r>
    </w:p>
    <w:p w14:paraId="1219639A">
      <w:pPr>
        <w:widowControl/>
        <w:numPr>
          <w:ilvl w:val="0"/>
          <w:numId w:val="35"/>
        </w:numPr>
        <w:tabs>
          <w:tab w:val="left" w:pos="0"/>
        </w:tabs>
        <w:autoSpaceDE w:val="0"/>
        <w:autoSpaceDN w:val="0"/>
        <w:spacing w:line="360" w:lineRule="auto"/>
        <w:ind w:left="854" w:right="26" w:hanging="854"/>
        <w:jc w:val="left"/>
        <w:textAlignment w:val="bottom"/>
        <w:rPr>
          <w:rFonts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b/>
          <w:bCs/>
          <w:color w:val="auto"/>
          <w:sz w:val="24"/>
          <w:highlight w:val="none"/>
        </w:rPr>
        <w:t>第14款</w:t>
      </w:r>
      <w:r>
        <w:rPr>
          <w:rFonts w:hint="eastAsia" w:ascii="宋体" w:hAnsi="宋体" w:cs="宋体"/>
          <w:color w:val="auto"/>
          <w:sz w:val="24"/>
          <w:highlight w:val="none"/>
        </w:rPr>
        <w:t>规定，投标人须提交证明文件，证明其拟供合同项下货物和服务的合格性并符合招标文件规定，该证明文件作为投标文件的一部分。</w:t>
      </w:r>
    </w:p>
    <w:p w14:paraId="5891C2C0">
      <w:pPr>
        <w:widowControl/>
        <w:numPr>
          <w:ilvl w:val="0"/>
          <w:numId w:val="35"/>
        </w:numPr>
        <w:tabs>
          <w:tab w:val="left" w:pos="0"/>
        </w:tabs>
        <w:autoSpaceDE w:val="0"/>
        <w:autoSpaceDN w:val="0"/>
        <w:spacing w:line="360" w:lineRule="auto"/>
        <w:ind w:left="854" w:right="26" w:hanging="854"/>
        <w:jc w:val="left"/>
        <w:textAlignment w:val="bottom"/>
        <w:rPr>
          <w:rFonts w:ascii="宋体" w:hAnsi="宋体" w:cs="宋体"/>
          <w:color w:val="auto"/>
          <w:sz w:val="24"/>
          <w:highlight w:val="none"/>
        </w:rPr>
      </w:pPr>
      <w:r>
        <w:rPr>
          <w:rFonts w:hint="eastAsia" w:ascii="宋体" w:hAnsi="宋体" w:cs="宋体"/>
          <w:color w:val="auto"/>
          <w:sz w:val="24"/>
          <w:highlight w:val="none"/>
        </w:rPr>
        <w:t>证明货物和服务与招标文件的要求相一致的文件可以是文字资料，图纸和数据。投标人应提供：</w:t>
      </w:r>
    </w:p>
    <w:p w14:paraId="6F61B98D">
      <w:pPr>
        <w:widowControl/>
        <w:tabs>
          <w:tab w:val="left" w:pos="840"/>
        </w:tabs>
        <w:autoSpaceDE w:val="0"/>
        <w:autoSpaceDN w:val="0"/>
        <w:spacing w:line="360" w:lineRule="auto"/>
        <w:ind w:left="840" w:leftChars="400" w:right="26"/>
        <w:jc w:val="left"/>
        <w:textAlignment w:val="bottom"/>
        <w:rPr>
          <w:rFonts w:ascii="宋体" w:hAnsi="宋体" w:cs="宋体"/>
          <w:color w:val="auto"/>
          <w:sz w:val="24"/>
          <w:highlight w:val="none"/>
        </w:rPr>
      </w:pPr>
      <w:r>
        <w:rPr>
          <w:rFonts w:hint="eastAsia" w:ascii="宋体" w:hAnsi="宋体" w:cs="宋体"/>
          <w:color w:val="auto"/>
          <w:sz w:val="24"/>
          <w:highlight w:val="none"/>
        </w:rPr>
        <w:t>1）货物或服务的主要技术指标和产品性能的详细说明；</w:t>
      </w:r>
    </w:p>
    <w:p w14:paraId="2EBE4F08">
      <w:pPr>
        <w:widowControl/>
        <w:tabs>
          <w:tab w:val="left" w:pos="840"/>
        </w:tabs>
        <w:autoSpaceDE w:val="0"/>
        <w:autoSpaceDN w:val="0"/>
        <w:spacing w:line="360" w:lineRule="auto"/>
        <w:ind w:left="840" w:leftChars="400" w:right="26"/>
        <w:jc w:val="left"/>
        <w:textAlignment w:val="bottom"/>
        <w:rPr>
          <w:rFonts w:ascii="宋体" w:hAnsi="宋体" w:cs="宋体"/>
          <w:color w:val="auto"/>
          <w:sz w:val="24"/>
          <w:highlight w:val="none"/>
        </w:rPr>
      </w:pPr>
      <w:r>
        <w:rPr>
          <w:rFonts w:hint="eastAsia" w:ascii="宋体" w:hAnsi="宋体" w:cs="宋体"/>
          <w:color w:val="auto"/>
          <w:sz w:val="24"/>
          <w:highlight w:val="none"/>
        </w:rPr>
        <w:t>2）为使货物或服务正常、连续地进行，应提供在保修期结束后持续供应备品备件的能力，以及收费标准；</w:t>
      </w:r>
    </w:p>
    <w:p w14:paraId="0071BA65">
      <w:pPr>
        <w:widowControl/>
        <w:tabs>
          <w:tab w:val="left" w:pos="840"/>
        </w:tabs>
        <w:autoSpaceDE w:val="0"/>
        <w:autoSpaceDN w:val="0"/>
        <w:spacing w:line="360" w:lineRule="auto"/>
        <w:ind w:left="840" w:leftChars="400" w:right="26"/>
        <w:jc w:val="left"/>
        <w:textAlignment w:val="bottom"/>
        <w:rPr>
          <w:rFonts w:ascii="宋体" w:hAnsi="宋体" w:cs="宋体"/>
          <w:color w:val="auto"/>
          <w:sz w:val="24"/>
          <w:highlight w:val="none"/>
        </w:rPr>
      </w:pPr>
      <w:r>
        <w:rPr>
          <w:rFonts w:hint="eastAsia" w:ascii="宋体" w:hAnsi="宋体" w:cs="宋体"/>
          <w:color w:val="auto"/>
          <w:sz w:val="24"/>
          <w:highlight w:val="none"/>
        </w:rPr>
        <w:t>3）根据技术和售后服务的要求，逐条对要求的技术规格和服务进行评议，指出自己提供货物和服务是否做出实质性的响应。</w:t>
      </w:r>
    </w:p>
    <w:p w14:paraId="7AB96E85">
      <w:pPr>
        <w:widowControl/>
        <w:numPr>
          <w:ilvl w:val="0"/>
          <w:numId w:val="35"/>
        </w:numPr>
        <w:tabs>
          <w:tab w:val="left" w:pos="0"/>
        </w:tabs>
        <w:autoSpaceDE w:val="0"/>
        <w:autoSpaceDN w:val="0"/>
        <w:spacing w:line="360" w:lineRule="auto"/>
        <w:ind w:left="854" w:right="26" w:hanging="854"/>
        <w:jc w:val="left"/>
        <w:textAlignment w:val="bottom"/>
        <w:rPr>
          <w:rFonts w:ascii="宋体" w:hAnsi="宋体" w:cs="宋体"/>
          <w:color w:val="auto"/>
          <w:sz w:val="24"/>
          <w:highlight w:val="none"/>
        </w:rPr>
      </w:pPr>
      <w:r>
        <w:rPr>
          <w:rFonts w:hint="eastAsia" w:ascii="宋体" w:hAnsi="宋体" w:cs="宋体"/>
          <w:color w:val="auto"/>
          <w:sz w:val="24"/>
          <w:highlight w:val="none"/>
        </w:rPr>
        <w:t>投标人应注意采购人在技术规格中所提出的工艺，材料和货物的标准和商标或样本目录号码的参考资料仅系说明并非进行限制。投标人可提出替代标准，商标和或样本目录号码，但该替代对象应相当于或优胜于技术规格中的规定，以使采购人满意。</w:t>
      </w:r>
    </w:p>
    <w:p w14:paraId="77C874AD">
      <w:pPr>
        <w:widowControl/>
        <w:tabs>
          <w:tab w:val="left" w:pos="1440"/>
        </w:tabs>
        <w:autoSpaceDE w:val="0"/>
        <w:autoSpaceDN w:val="0"/>
        <w:spacing w:line="360" w:lineRule="auto"/>
        <w:ind w:left="1080" w:right="26" w:hanging="180"/>
        <w:jc w:val="left"/>
        <w:textAlignment w:val="bottom"/>
        <w:rPr>
          <w:rFonts w:ascii="宋体" w:hAnsi="宋体" w:cs="宋体"/>
          <w:color w:val="auto"/>
          <w:sz w:val="24"/>
          <w:highlight w:val="none"/>
        </w:rPr>
      </w:pPr>
    </w:p>
    <w:p w14:paraId="2B461344">
      <w:pPr>
        <w:numPr>
          <w:ilvl w:val="0"/>
          <w:numId w:val="18"/>
        </w:numPr>
        <w:adjustRightInd w:val="0"/>
        <w:snapToGrid w:val="0"/>
        <w:spacing w:line="360" w:lineRule="auto"/>
        <w:ind w:left="857" w:hanging="857"/>
        <w:outlineLvl w:val="3"/>
        <w:rPr>
          <w:rFonts w:ascii="宋体" w:hAnsi="宋体" w:cs="宋体"/>
          <w:b/>
          <w:bCs/>
          <w:color w:val="auto"/>
          <w:sz w:val="24"/>
          <w:highlight w:val="none"/>
        </w:rPr>
      </w:pPr>
      <w:r>
        <w:rPr>
          <w:rFonts w:hint="eastAsia" w:ascii="宋体" w:hAnsi="宋体" w:cs="宋体"/>
          <w:b/>
          <w:bCs/>
          <w:color w:val="auto"/>
          <w:sz w:val="24"/>
          <w:highlight w:val="none"/>
        </w:rPr>
        <w:t>投标供应商诚信须知</w:t>
      </w:r>
    </w:p>
    <w:p w14:paraId="7244F0F0">
      <w:pPr>
        <w:numPr>
          <w:ilvl w:val="0"/>
          <w:numId w:val="18"/>
        </w:numPr>
        <w:adjustRightInd w:val="0"/>
        <w:snapToGrid w:val="0"/>
        <w:spacing w:line="360" w:lineRule="auto"/>
        <w:ind w:left="857" w:hanging="857"/>
        <w:outlineLvl w:val="3"/>
        <w:rPr>
          <w:rFonts w:ascii="宋体" w:hAnsi="宋体" w:cs="宋体"/>
          <w:b/>
          <w:bCs/>
          <w:color w:val="auto"/>
          <w:sz w:val="24"/>
          <w:highlight w:val="none"/>
        </w:rPr>
      </w:pPr>
      <w:r>
        <w:rPr>
          <w:rFonts w:hint="eastAsia" w:ascii="宋体" w:hAnsi="宋体" w:cs="宋体"/>
          <w:color w:val="auto"/>
          <w:sz w:val="24"/>
          <w:highlight w:val="none"/>
        </w:rPr>
        <w:t>若供应商在政府采购活动中出现《深圳经济特区政府采购条例实施细则》第八十四条规定情形的，采购人或招标机构可将有关情况报同级财政部门，由财政部门根据实际情况记入供应商诚信档案，予以通报。</w:t>
      </w:r>
    </w:p>
    <w:p w14:paraId="752AFC14">
      <w:pPr>
        <w:numPr>
          <w:ilvl w:val="0"/>
          <w:numId w:val="18"/>
        </w:numPr>
        <w:adjustRightInd w:val="0"/>
        <w:snapToGrid w:val="0"/>
        <w:spacing w:line="360" w:lineRule="auto"/>
        <w:ind w:left="857" w:hanging="857"/>
        <w:outlineLvl w:val="3"/>
        <w:rPr>
          <w:rFonts w:ascii="宋体" w:hAnsi="宋体" w:cs="宋体"/>
          <w:b/>
          <w:bCs/>
          <w:color w:val="auto"/>
          <w:sz w:val="24"/>
          <w:highlight w:val="none"/>
        </w:rPr>
      </w:pPr>
      <w:r>
        <w:rPr>
          <w:rFonts w:hint="eastAsia" w:ascii="宋体" w:hAnsi="宋体" w:cs="宋体"/>
          <w:b/>
          <w:bCs/>
          <w:color w:val="auto"/>
          <w:sz w:val="24"/>
          <w:highlight w:val="none"/>
        </w:rPr>
        <w:t>投标有效期</w:t>
      </w:r>
    </w:p>
    <w:p w14:paraId="1441AC31">
      <w:pPr>
        <w:widowControl/>
        <w:numPr>
          <w:ilvl w:val="1"/>
          <w:numId w:val="18"/>
        </w:numPr>
        <w:tabs>
          <w:tab w:val="left" w:pos="-142"/>
        </w:tabs>
        <w:autoSpaceDE w:val="0"/>
        <w:autoSpaceDN w:val="0"/>
        <w:spacing w:line="360" w:lineRule="auto"/>
        <w:ind w:left="840" w:right="26" w:hanging="840" w:hangingChars="350"/>
        <w:jc w:val="left"/>
        <w:textAlignment w:val="bottom"/>
        <w:rPr>
          <w:rFonts w:ascii="宋体" w:hAnsi="宋体" w:cs="宋体"/>
          <w:color w:val="auto"/>
          <w:sz w:val="24"/>
          <w:highlight w:val="none"/>
        </w:rPr>
      </w:pPr>
      <w:r>
        <w:rPr>
          <w:rFonts w:hint="eastAsia" w:ascii="宋体" w:hAnsi="宋体" w:cs="宋体"/>
          <w:color w:val="auto"/>
          <w:sz w:val="24"/>
          <w:highlight w:val="none"/>
        </w:rPr>
        <w:t xml:space="preserve"> 投标文件将在</w:t>
      </w:r>
      <w:r>
        <w:rPr>
          <w:rFonts w:hint="eastAsia" w:ascii="宋体" w:hAnsi="宋体" w:cs="宋体"/>
          <w:b/>
          <w:bCs/>
          <w:color w:val="auto"/>
          <w:sz w:val="24"/>
          <w:highlight w:val="none"/>
        </w:rPr>
        <w:t>《投标人须知前附表》</w:t>
      </w:r>
      <w:r>
        <w:rPr>
          <w:rFonts w:hint="eastAsia" w:ascii="宋体" w:hAnsi="宋体" w:cs="宋体"/>
          <w:color w:val="auto"/>
          <w:sz w:val="24"/>
          <w:highlight w:val="none"/>
        </w:rPr>
        <w:t>规定的日历日内有效。投标有效期短于招标文件规定期限的，将被视为非响应标予以拒绝。</w:t>
      </w:r>
    </w:p>
    <w:p w14:paraId="0CF265D8">
      <w:pPr>
        <w:widowControl/>
        <w:numPr>
          <w:ilvl w:val="1"/>
          <w:numId w:val="18"/>
        </w:numPr>
        <w:tabs>
          <w:tab w:val="left" w:pos="-142"/>
        </w:tabs>
        <w:autoSpaceDE w:val="0"/>
        <w:autoSpaceDN w:val="0"/>
        <w:spacing w:line="360" w:lineRule="auto"/>
        <w:ind w:left="840" w:right="26" w:hanging="840" w:hangingChars="350"/>
        <w:jc w:val="left"/>
        <w:textAlignment w:val="bottom"/>
        <w:rPr>
          <w:rFonts w:ascii="宋体" w:hAnsi="宋体" w:cs="宋体"/>
          <w:color w:val="auto"/>
          <w:sz w:val="24"/>
          <w:highlight w:val="none"/>
        </w:rPr>
      </w:pPr>
      <w:r>
        <w:rPr>
          <w:rFonts w:hint="eastAsia" w:ascii="宋体" w:hAnsi="宋体" w:cs="宋体"/>
          <w:color w:val="auto"/>
          <w:sz w:val="24"/>
          <w:highlight w:val="none"/>
        </w:rPr>
        <w:t xml:space="preserve"> 在特殊情况下，采购</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可于投标有效期满之前要求投标人同意延长有效期。延长的要求与答复均应以书面形式往来。投标人可以拒绝上述要求。对于同意该要求的投标人，既不要求也不允许其修改投标文件。</w:t>
      </w:r>
    </w:p>
    <w:p w14:paraId="624D203A">
      <w:pPr>
        <w:widowControl/>
        <w:tabs>
          <w:tab w:val="left" w:pos="540"/>
        </w:tabs>
        <w:autoSpaceDE w:val="0"/>
        <w:autoSpaceDN w:val="0"/>
        <w:spacing w:line="360" w:lineRule="auto"/>
        <w:ind w:left="540" w:right="26" w:hanging="540"/>
        <w:jc w:val="left"/>
        <w:textAlignment w:val="bottom"/>
        <w:rPr>
          <w:rFonts w:ascii="宋体" w:hAnsi="宋体" w:cs="宋体"/>
          <w:color w:val="auto"/>
          <w:szCs w:val="21"/>
          <w:highlight w:val="none"/>
        </w:rPr>
      </w:pPr>
    </w:p>
    <w:p w14:paraId="647F67A4">
      <w:pPr>
        <w:numPr>
          <w:ilvl w:val="0"/>
          <w:numId w:val="18"/>
        </w:numPr>
        <w:adjustRightInd w:val="0"/>
        <w:snapToGrid w:val="0"/>
        <w:spacing w:line="360" w:lineRule="auto"/>
        <w:ind w:left="857" w:hanging="857"/>
        <w:outlineLvl w:val="3"/>
        <w:rPr>
          <w:rFonts w:ascii="宋体" w:hAnsi="宋体" w:cs="宋体"/>
          <w:b/>
          <w:bCs/>
          <w:color w:val="auto"/>
          <w:sz w:val="24"/>
          <w:highlight w:val="none"/>
        </w:rPr>
      </w:pPr>
      <w:r>
        <w:rPr>
          <w:rFonts w:hint="eastAsia" w:ascii="宋体" w:hAnsi="宋体" w:cs="宋体"/>
          <w:b/>
          <w:bCs/>
          <w:color w:val="auto"/>
          <w:sz w:val="24"/>
          <w:highlight w:val="none"/>
        </w:rPr>
        <w:t>投标文件的式样和签署</w:t>
      </w:r>
    </w:p>
    <w:p w14:paraId="24E9023E">
      <w:pPr>
        <w:widowControl/>
        <w:numPr>
          <w:ilvl w:val="1"/>
          <w:numId w:val="18"/>
        </w:numPr>
        <w:autoSpaceDE w:val="0"/>
        <w:autoSpaceDN w:val="0"/>
        <w:spacing w:line="360" w:lineRule="auto"/>
        <w:ind w:left="840" w:right="26" w:hanging="840" w:hangingChars="350"/>
        <w:jc w:val="left"/>
        <w:textAlignment w:val="bottom"/>
        <w:rPr>
          <w:rFonts w:ascii="宋体" w:hAnsi="宋体" w:cs="宋体"/>
          <w:color w:val="auto"/>
          <w:sz w:val="24"/>
          <w:highlight w:val="none"/>
        </w:rPr>
      </w:pPr>
      <w:r>
        <w:rPr>
          <w:rFonts w:hint="eastAsia" w:ascii="宋体" w:hAnsi="宋体" w:cs="宋体"/>
          <w:color w:val="auto"/>
          <w:sz w:val="24"/>
          <w:highlight w:val="none"/>
        </w:rPr>
        <w:t xml:space="preserve"> 投标人应准备投标文件正本和副本、开标文件（包含一份USB接口设备存储的投标文件电子文档）等，具体内容和数量详见</w:t>
      </w:r>
      <w:r>
        <w:rPr>
          <w:rFonts w:hint="eastAsia" w:ascii="宋体" w:hAnsi="宋体" w:cs="宋体"/>
          <w:b/>
          <w:bCs/>
          <w:color w:val="auto"/>
          <w:sz w:val="24"/>
          <w:highlight w:val="none"/>
        </w:rPr>
        <w:t>《投标人须知前附表》</w:t>
      </w:r>
      <w:r>
        <w:rPr>
          <w:rFonts w:hint="eastAsia" w:ascii="宋体" w:hAnsi="宋体" w:cs="宋体"/>
          <w:color w:val="auto"/>
          <w:sz w:val="24"/>
          <w:highlight w:val="none"/>
        </w:rPr>
        <w:t>，在每一份投标文件上编上页码，装订成册（不允许使用活页夹），并要明确注明“正本”和“副本”，副本可由已经按招标要求盖章、签字整理完成的投标文件正本的复印件组成，一旦正本和副本发现差异，以正本为准，若纸质文件和电子版发现差异，以纸质文件为准。</w:t>
      </w:r>
    </w:p>
    <w:p w14:paraId="1476ACB3">
      <w:pPr>
        <w:widowControl/>
        <w:numPr>
          <w:ilvl w:val="1"/>
          <w:numId w:val="18"/>
        </w:numPr>
        <w:autoSpaceDE w:val="0"/>
        <w:autoSpaceDN w:val="0"/>
        <w:spacing w:line="360" w:lineRule="auto"/>
        <w:ind w:left="840" w:right="26" w:hanging="840" w:hangingChars="350"/>
        <w:jc w:val="left"/>
        <w:textAlignment w:val="bottom"/>
        <w:rPr>
          <w:rFonts w:ascii="宋体" w:hAnsi="宋体" w:cs="宋体"/>
          <w:color w:val="auto"/>
          <w:sz w:val="24"/>
          <w:highlight w:val="none"/>
        </w:rPr>
      </w:pPr>
      <w:r>
        <w:rPr>
          <w:rFonts w:hint="eastAsia" w:ascii="宋体" w:hAnsi="宋体" w:cs="宋体"/>
          <w:color w:val="auto"/>
          <w:sz w:val="24"/>
          <w:highlight w:val="none"/>
        </w:rPr>
        <w:t xml:space="preserve"> 投标文件正本和副本须打印或用不退色墨水书写并由投标人或经正式授权并对投标人有合同约束力的代理人签字，后者须将“授权委托书”以书面形式附在投标文件中。投标文件副本可由已经签字、盖章整理完成的投标文件正本复印而成，每份副本整本骑缝需加盖投标人公章，与正本均具有法律效力。</w:t>
      </w:r>
    </w:p>
    <w:p w14:paraId="375B0BFE">
      <w:pPr>
        <w:widowControl/>
        <w:numPr>
          <w:ilvl w:val="1"/>
          <w:numId w:val="18"/>
        </w:numPr>
        <w:autoSpaceDE w:val="0"/>
        <w:autoSpaceDN w:val="0"/>
        <w:spacing w:line="360" w:lineRule="auto"/>
        <w:ind w:left="840" w:right="26" w:hanging="840" w:hangingChars="350"/>
        <w:jc w:val="left"/>
        <w:textAlignment w:val="bottom"/>
        <w:rPr>
          <w:rFonts w:ascii="宋体" w:hAnsi="宋体" w:cs="宋体"/>
          <w:color w:val="auto"/>
          <w:sz w:val="24"/>
          <w:highlight w:val="none"/>
        </w:rPr>
      </w:pPr>
      <w:r>
        <w:rPr>
          <w:rFonts w:hint="eastAsia" w:ascii="宋体" w:hAnsi="宋体" w:cs="宋体"/>
          <w:color w:val="auto"/>
          <w:sz w:val="24"/>
          <w:highlight w:val="none"/>
        </w:rPr>
        <w:t xml:space="preserve"> 投标文件电子文档为已签字盖章整理完成的投标文件正本扫描件。</w:t>
      </w:r>
    </w:p>
    <w:p w14:paraId="38C90E0E">
      <w:pPr>
        <w:widowControl/>
        <w:numPr>
          <w:ilvl w:val="1"/>
          <w:numId w:val="18"/>
        </w:numPr>
        <w:autoSpaceDE w:val="0"/>
        <w:autoSpaceDN w:val="0"/>
        <w:spacing w:line="360" w:lineRule="auto"/>
        <w:ind w:left="840" w:right="26" w:hanging="840" w:hangingChars="350"/>
        <w:jc w:val="left"/>
        <w:textAlignment w:val="bottom"/>
        <w:rPr>
          <w:rFonts w:ascii="宋体" w:hAnsi="宋体" w:cs="宋体"/>
          <w:color w:val="auto"/>
          <w:sz w:val="24"/>
          <w:highlight w:val="none"/>
        </w:rPr>
      </w:pPr>
      <w:r>
        <w:rPr>
          <w:rFonts w:hint="eastAsia" w:ascii="宋体" w:hAnsi="宋体" w:cs="宋体"/>
          <w:color w:val="auto"/>
          <w:sz w:val="24"/>
          <w:highlight w:val="none"/>
        </w:rPr>
        <w:t xml:space="preserve"> 除投标人对错处作必要修改外，投标文件中不许有加行，涂抹或改写。若有修改须由签署投标文件的人进行签字。</w:t>
      </w:r>
    </w:p>
    <w:p w14:paraId="0E76A1F1">
      <w:pPr>
        <w:widowControl/>
        <w:numPr>
          <w:ilvl w:val="1"/>
          <w:numId w:val="18"/>
        </w:numPr>
        <w:autoSpaceDE w:val="0"/>
        <w:autoSpaceDN w:val="0"/>
        <w:spacing w:line="360" w:lineRule="auto"/>
        <w:ind w:left="840" w:right="26" w:hanging="840" w:hangingChars="350"/>
        <w:jc w:val="left"/>
        <w:textAlignment w:val="bottom"/>
        <w:rPr>
          <w:rFonts w:ascii="宋体" w:hAnsi="宋体" w:cs="宋体"/>
          <w:color w:val="auto"/>
          <w:sz w:val="24"/>
          <w:highlight w:val="none"/>
        </w:rPr>
      </w:pPr>
      <w:bookmarkStart w:id="32" w:name="_Toc3406"/>
      <w:r>
        <w:rPr>
          <w:rFonts w:hint="eastAsia" w:ascii="宋体" w:hAnsi="宋体" w:cs="宋体"/>
          <w:color w:val="auto"/>
          <w:sz w:val="24"/>
          <w:highlight w:val="none"/>
        </w:rPr>
        <w:t xml:space="preserve"> 电报，电传，传真投标概不接受。</w:t>
      </w:r>
      <w:bookmarkEnd w:id="32"/>
    </w:p>
    <w:p w14:paraId="19F8AA24">
      <w:pPr>
        <w:rPr>
          <w:rFonts w:ascii="宋体" w:hAnsi="宋体" w:cs="宋体"/>
          <w:color w:val="auto"/>
          <w:sz w:val="24"/>
          <w:highlight w:val="none"/>
        </w:rPr>
      </w:pPr>
    </w:p>
    <w:p w14:paraId="41E5D4CE">
      <w:pPr>
        <w:numPr>
          <w:ilvl w:val="0"/>
          <w:numId w:val="36"/>
        </w:numPr>
        <w:tabs>
          <w:tab w:val="left" w:pos="850"/>
        </w:tabs>
        <w:spacing w:before="240" w:after="24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投标文件的递交</w:t>
      </w:r>
    </w:p>
    <w:p w14:paraId="5FDB0324">
      <w:pPr>
        <w:rPr>
          <w:rFonts w:ascii="宋体" w:hAnsi="宋体" w:cs="宋体"/>
          <w:color w:val="auto"/>
          <w:highlight w:val="none"/>
        </w:rPr>
      </w:pPr>
    </w:p>
    <w:p w14:paraId="7D567E0F">
      <w:pPr>
        <w:numPr>
          <w:ilvl w:val="0"/>
          <w:numId w:val="18"/>
        </w:numPr>
        <w:adjustRightInd w:val="0"/>
        <w:snapToGrid w:val="0"/>
        <w:spacing w:line="360" w:lineRule="auto"/>
        <w:ind w:left="857" w:hanging="857"/>
        <w:outlineLvl w:val="3"/>
        <w:rPr>
          <w:rFonts w:ascii="宋体" w:hAnsi="宋体" w:cs="宋体"/>
          <w:b/>
          <w:bCs/>
          <w:color w:val="auto"/>
          <w:sz w:val="24"/>
          <w:highlight w:val="none"/>
        </w:rPr>
      </w:pPr>
      <w:r>
        <w:rPr>
          <w:rFonts w:hint="eastAsia" w:ascii="宋体" w:hAnsi="宋体" w:cs="宋体"/>
          <w:b/>
          <w:bCs/>
          <w:color w:val="auto"/>
          <w:sz w:val="24"/>
          <w:highlight w:val="none"/>
        </w:rPr>
        <w:t>投标文件的密封和标记</w:t>
      </w:r>
    </w:p>
    <w:p w14:paraId="293ABF18">
      <w:pPr>
        <w:widowControl/>
        <w:numPr>
          <w:ilvl w:val="1"/>
          <w:numId w:val="18"/>
        </w:numPr>
        <w:tabs>
          <w:tab w:val="left" w:pos="142"/>
        </w:tabs>
        <w:autoSpaceDE w:val="0"/>
        <w:autoSpaceDN w:val="0"/>
        <w:spacing w:line="360" w:lineRule="auto"/>
        <w:ind w:left="840" w:right="26" w:hanging="840" w:hangingChars="350"/>
        <w:jc w:val="left"/>
        <w:textAlignment w:val="bottom"/>
        <w:rPr>
          <w:rFonts w:ascii="宋体" w:hAnsi="宋体" w:cs="宋体"/>
          <w:color w:val="auto"/>
          <w:sz w:val="24"/>
          <w:highlight w:val="none"/>
        </w:rPr>
      </w:pPr>
      <w:r>
        <w:rPr>
          <w:rFonts w:hint="eastAsia" w:ascii="宋体" w:hAnsi="宋体" w:cs="宋体"/>
          <w:color w:val="auto"/>
          <w:sz w:val="24"/>
          <w:highlight w:val="none"/>
        </w:rPr>
        <w:t xml:space="preserve"> 投标人应先将投标文件正本及副本、开标文件（含电子文档投标文件）分别单独密封，并在密封资料的封面上分别标明“投标文件（含正本、副本）”、“开标文件（含电子文档投标文件）”。</w:t>
      </w:r>
    </w:p>
    <w:p w14:paraId="0FAD4EF2">
      <w:pPr>
        <w:widowControl/>
        <w:numPr>
          <w:ilvl w:val="1"/>
          <w:numId w:val="18"/>
        </w:numPr>
        <w:tabs>
          <w:tab w:val="left" w:pos="142"/>
        </w:tabs>
        <w:autoSpaceDE w:val="0"/>
        <w:autoSpaceDN w:val="0"/>
        <w:spacing w:line="360" w:lineRule="auto"/>
        <w:ind w:left="-735" w:leftChars="-350" w:right="26" w:firstLine="720" w:firstLineChars="300"/>
        <w:jc w:val="left"/>
        <w:textAlignment w:val="bottom"/>
        <w:rPr>
          <w:rFonts w:ascii="宋体" w:hAnsi="宋体" w:cs="宋体"/>
          <w:color w:val="auto"/>
          <w:sz w:val="24"/>
          <w:highlight w:val="none"/>
        </w:rPr>
      </w:pPr>
      <w:r>
        <w:rPr>
          <w:rFonts w:hint="eastAsia" w:ascii="宋体" w:hAnsi="宋体" w:cs="宋体"/>
          <w:color w:val="auto"/>
          <w:sz w:val="24"/>
          <w:highlight w:val="none"/>
        </w:rPr>
        <w:t xml:space="preserve"> 密封文件均应：</w:t>
      </w:r>
    </w:p>
    <w:p w14:paraId="04789050">
      <w:pPr>
        <w:widowControl/>
        <w:tabs>
          <w:tab w:val="left" w:pos="142"/>
        </w:tabs>
        <w:autoSpaceDE w:val="0"/>
        <w:autoSpaceDN w:val="0"/>
        <w:spacing w:line="360" w:lineRule="auto"/>
        <w:ind w:left="840" w:leftChars="400" w:right="26"/>
        <w:jc w:val="left"/>
        <w:textAlignment w:val="bottom"/>
        <w:rPr>
          <w:rFonts w:ascii="宋体" w:hAnsi="宋体" w:cs="宋体"/>
          <w:color w:val="auto"/>
          <w:sz w:val="24"/>
          <w:highlight w:val="none"/>
        </w:rPr>
      </w:pPr>
      <w:r>
        <w:rPr>
          <w:rFonts w:hint="eastAsia" w:ascii="宋体" w:hAnsi="宋体" w:cs="宋体"/>
          <w:color w:val="auto"/>
          <w:sz w:val="24"/>
          <w:highlight w:val="none"/>
        </w:rPr>
        <w:t>1）按“</w:t>
      </w:r>
      <w:r>
        <w:rPr>
          <w:rFonts w:hint="eastAsia" w:ascii="宋体" w:hAnsi="宋体" w:cs="宋体"/>
          <w:b/>
          <w:bCs/>
          <w:color w:val="auto"/>
          <w:sz w:val="24"/>
          <w:highlight w:val="none"/>
        </w:rPr>
        <w:t>《投标人须知前附表》</w:t>
      </w:r>
      <w:r>
        <w:rPr>
          <w:rFonts w:hint="eastAsia" w:ascii="宋体" w:hAnsi="宋体" w:cs="宋体"/>
          <w:color w:val="auto"/>
          <w:sz w:val="24"/>
          <w:highlight w:val="none"/>
        </w:rPr>
        <w:t>”所示地址发至采购</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w:t>
      </w:r>
    </w:p>
    <w:p w14:paraId="514B456F">
      <w:pPr>
        <w:widowControl/>
        <w:tabs>
          <w:tab w:val="left" w:pos="142"/>
        </w:tabs>
        <w:autoSpaceDE w:val="0"/>
        <w:autoSpaceDN w:val="0"/>
        <w:spacing w:line="360" w:lineRule="auto"/>
        <w:ind w:left="840" w:leftChars="400" w:right="26"/>
        <w:jc w:val="left"/>
        <w:textAlignment w:val="bottom"/>
        <w:rPr>
          <w:rFonts w:ascii="宋体" w:hAnsi="宋体" w:cs="宋体"/>
          <w:color w:val="auto"/>
          <w:sz w:val="24"/>
          <w:highlight w:val="none"/>
        </w:rPr>
      </w:pPr>
      <w:r>
        <w:rPr>
          <w:rFonts w:hint="eastAsia" w:ascii="宋体" w:hAnsi="宋体" w:cs="宋体"/>
          <w:color w:val="auto"/>
          <w:sz w:val="24"/>
          <w:highlight w:val="none"/>
        </w:rPr>
        <w:t>2）注明项目名称、项目编号、投标人名称、投标日期、投标文件（含正本、副本）或开标文件（含电子文档投标文件）及在招标公告规定的开标日期及时间前 “不准启封”的字样；</w:t>
      </w:r>
    </w:p>
    <w:p w14:paraId="66982347">
      <w:pPr>
        <w:widowControl/>
        <w:tabs>
          <w:tab w:val="left" w:pos="142"/>
        </w:tabs>
        <w:autoSpaceDE w:val="0"/>
        <w:autoSpaceDN w:val="0"/>
        <w:spacing w:line="360" w:lineRule="auto"/>
        <w:ind w:left="840" w:leftChars="400" w:right="26"/>
        <w:jc w:val="left"/>
        <w:textAlignment w:val="bottom"/>
        <w:rPr>
          <w:rFonts w:ascii="宋体" w:hAnsi="宋体" w:cs="宋体"/>
          <w:color w:val="auto"/>
          <w:sz w:val="24"/>
          <w:highlight w:val="none"/>
        </w:rPr>
      </w:pPr>
      <w:r>
        <w:rPr>
          <w:rFonts w:hint="eastAsia" w:ascii="宋体" w:hAnsi="宋体" w:cs="宋体"/>
          <w:color w:val="auto"/>
          <w:sz w:val="24"/>
          <w:highlight w:val="none"/>
        </w:rPr>
        <w:t>3）密封文件封面应写明投标人名称和地址，以便原封退还迟交的投标书。</w:t>
      </w:r>
    </w:p>
    <w:p w14:paraId="1612EE33">
      <w:pPr>
        <w:widowControl/>
        <w:tabs>
          <w:tab w:val="left" w:pos="142"/>
        </w:tabs>
        <w:autoSpaceDE w:val="0"/>
        <w:autoSpaceDN w:val="0"/>
        <w:spacing w:line="360" w:lineRule="auto"/>
        <w:ind w:left="840" w:right="26" w:hanging="840" w:hangingChars="350"/>
        <w:jc w:val="left"/>
        <w:textAlignment w:val="bottom"/>
        <w:rPr>
          <w:rFonts w:ascii="宋体" w:hAnsi="宋体" w:cs="宋体"/>
          <w:color w:val="auto"/>
          <w:sz w:val="24"/>
          <w:highlight w:val="none"/>
        </w:rPr>
      </w:pPr>
      <w:r>
        <w:rPr>
          <w:rFonts w:hint="eastAsia" w:ascii="宋体" w:hAnsi="宋体" w:cs="宋体"/>
          <w:color w:val="auto"/>
          <w:sz w:val="24"/>
          <w:highlight w:val="none"/>
        </w:rPr>
        <w:t>20.3.  如果外信封未按</w:t>
      </w:r>
      <w:r>
        <w:rPr>
          <w:rFonts w:hint="eastAsia" w:ascii="宋体" w:hAnsi="宋体" w:cs="宋体"/>
          <w:b/>
          <w:bCs/>
          <w:color w:val="auto"/>
          <w:sz w:val="24"/>
          <w:highlight w:val="none"/>
        </w:rPr>
        <w:t>第19.2款</w:t>
      </w:r>
      <w:r>
        <w:rPr>
          <w:rFonts w:hint="eastAsia" w:ascii="宋体" w:hAnsi="宋体" w:cs="宋体"/>
          <w:color w:val="auto"/>
          <w:sz w:val="24"/>
          <w:highlight w:val="none"/>
        </w:rPr>
        <w:t>规定密封和标记，采购</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对投标文件的误投或提前拆封不负责任。对由此造成提前开封的投标文件，采购</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将予以拒绝，并退回投标人。</w:t>
      </w:r>
    </w:p>
    <w:p w14:paraId="667FF072">
      <w:pPr>
        <w:widowControl/>
        <w:tabs>
          <w:tab w:val="left" w:pos="540"/>
        </w:tabs>
        <w:autoSpaceDE w:val="0"/>
        <w:autoSpaceDN w:val="0"/>
        <w:spacing w:line="360" w:lineRule="auto"/>
        <w:ind w:left="540" w:right="26" w:hanging="540"/>
        <w:jc w:val="left"/>
        <w:textAlignment w:val="bottom"/>
        <w:rPr>
          <w:rFonts w:ascii="宋体" w:hAnsi="宋体" w:cs="宋体"/>
          <w:color w:val="auto"/>
          <w:szCs w:val="21"/>
          <w:highlight w:val="none"/>
        </w:rPr>
      </w:pPr>
    </w:p>
    <w:p w14:paraId="4667A297">
      <w:pPr>
        <w:numPr>
          <w:ilvl w:val="0"/>
          <w:numId w:val="18"/>
        </w:numPr>
        <w:adjustRightInd w:val="0"/>
        <w:snapToGrid w:val="0"/>
        <w:spacing w:line="360" w:lineRule="auto"/>
        <w:ind w:left="857" w:hanging="857"/>
        <w:outlineLvl w:val="3"/>
        <w:rPr>
          <w:rFonts w:ascii="宋体" w:hAnsi="宋体" w:cs="宋体"/>
          <w:b/>
          <w:bCs/>
          <w:color w:val="auto"/>
          <w:sz w:val="24"/>
          <w:highlight w:val="none"/>
        </w:rPr>
      </w:pPr>
      <w:r>
        <w:rPr>
          <w:rFonts w:hint="eastAsia" w:ascii="宋体" w:hAnsi="宋体" w:cs="宋体"/>
          <w:b/>
          <w:bCs/>
          <w:color w:val="auto"/>
          <w:sz w:val="24"/>
          <w:highlight w:val="none"/>
        </w:rPr>
        <w:t>递交投标文件的要求及截止日期</w:t>
      </w:r>
    </w:p>
    <w:p w14:paraId="678BAF94">
      <w:pPr>
        <w:widowControl/>
        <w:numPr>
          <w:ilvl w:val="1"/>
          <w:numId w:val="18"/>
        </w:numPr>
        <w:tabs>
          <w:tab w:val="left" w:pos="284"/>
        </w:tabs>
        <w:autoSpaceDE w:val="0"/>
        <w:autoSpaceDN w:val="0"/>
        <w:spacing w:line="360" w:lineRule="auto"/>
        <w:ind w:left="854" w:right="26" w:hanging="854"/>
        <w:jc w:val="left"/>
        <w:textAlignment w:val="bottom"/>
        <w:rPr>
          <w:rFonts w:ascii="宋体" w:hAnsi="宋体" w:cs="宋体"/>
          <w:color w:val="auto"/>
          <w:sz w:val="24"/>
          <w:highlight w:val="none"/>
        </w:rPr>
      </w:pPr>
      <w:r>
        <w:rPr>
          <w:rFonts w:hint="eastAsia" w:ascii="宋体" w:hAnsi="宋体" w:cs="宋体"/>
          <w:color w:val="auto"/>
          <w:sz w:val="24"/>
          <w:highlight w:val="none"/>
        </w:rPr>
        <w:t xml:space="preserve"> 采购</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收到投标文件的时间不得迟于</w:t>
      </w:r>
      <w:r>
        <w:rPr>
          <w:rFonts w:hint="eastAsia" w:ascii="宋体" w:hAnsi="宋体" w:cs="宋体"/>
          <w:b/>
          <w:bCs/>
          <w:color w:val="auto"/>
          <w:sz w:val="24"/>
          <w:highlight w:val="none"/>
        </w:rPr>
        <w:t>《投标人须知前附表》</w:t>
      </w:r>
      <w:r>
        <w:rPr>
          <w:rFonts w:hint="eastAsia" w:ascii="宋体" w:hAnsi="宋体" w:cs="宋体"/>
          <w:color w:val="auto"/>
          <w:sz w:val="24"/>
          <w:highlight w:val="none"/>
        </w:rPr>
        <w:t>中规定的截止时间。</w:t>
      </w:r>
    </w:p>
    <w:p w14:paraId="4D64A23F">
      <w:pPr>
        <w:widowControl/>
        <w:numPr>
          <w:ilvl w:val="1"/>
          <w:numId w:val="18"/>
        </w:numPr>
        <w:tabs>
          <w:tab w:val="left" w:pos="284"/>
        </w:tabs>
        <w:autoSpaceDE w:val="0"/>
        <w:autoSpaceDN w:val="0"/>
        <w:spacing w:line="360" w:lineRule="auto"/>
        <w:ind w:left="854" w:right="26" w:hanging="854"/>
        <w:jc w:val="left"/>
        <w:textAlignment w:val="bottom"/>
        <w:rPr>
          <w:rFonts w:ascii="宋体" w:hAnsi="宋体" w:cs="宋体"/>
          <w:color w:val="auto"/>
          <w:sz w:val="24"/>
          <w:highlight w:val="none"/>
        </w:rPr>
      </w:pPr>
      <w:r>
        <w:rPr>
          <w:rFonts w:hint="eastAsia" w:ascii="宋体" w:hAnsi="宋体" w:cs="宋体"/>
          <w:color w:val="auto"/>
          <w:sz w:val="24"/>
          <w:highlight w:val="none"/>
        </w:rPr>
        <w:t xml:space="preserve"> 采购</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可以按本须知</w:t>
      </w:r>
      <w:r>
        <w:rPr>
          <w:rFonts w:hint="eastAsia" w:ascii="宋体" w:hAnsi="宋体" w:cs="宋体"/>
          <w:b/>
          <w:bCs/>
          <w:color w:val="auto"/>
          <w:sz w:val="24"/>
          <w:highlight w:val="none"/>
        </w:rPr>
        <w:t>第8款</w:t>
      </w:r>
      <w:r>
        <w:rPr>
          <w:rFonts w:hint="eastAsia" w:ascii="宋体" w:hAnsi="宋体" w:cs="宋体"/>
          <w:color w:val="auto"/>
          <w:sz w:val="24"/>
          <w:highlight w:val="none"/>
        </w:rPr>
        <w:t>规定，通过修改招标文件自行决定酌情延长投标截止期。在此情况下，采购人和投标人受投标截止期制约的所有权利和义务均应延长至新的截止日期和时间。投标人按采购</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修改通知规定的时间递交投标文件。</w:t>
      </w:r>
    </w:p>
    <w:p w14:paraId="62D6E116">
      <w:pPr>
        <w:widowControl/>
        <w:numPr>
          <w:ilvl w:val="1"/>
          <w:numId w:val="18"/>
        </w:numPr>
        <w:tabs>
          <w:tab w:val="left" w:pos="284"/>
        </w:tabs>
        <w:autoSpaceDE w:val="0"/>
        <w:autoSpaceDN w:val="0"/>
        <w:spacing w:line="360" w:lineRule="auto"/>
        <w:ind w:left="854" w:right="26" w:hanging="854"/>
        <w:jc w:val="left"/>
        <w:textAlignment w:val="bottom"/>
        <w:rPr>
          <w:rFonts w:ascii="宋体" w:hAnsi="宋体" w:cs="宋体"/>
          <w:color w:val="auto"/>
          <w:sz w:val="24"/>
          <w:highlight w:val="none"/>
        </w:rPr>
      </w:pPr>
      <w:r>
        <w:rPr>
          <w:rFonts w:hint="eastAsia" w:ascii="宋体" w:hAnsi="宋体" w:cs="宋体"/>
          <w:color w:val="auto"/>
          <w:sz w:val="24"/>
          <w:highlight w:val="none"/>
        </w:rPr>
        <w:t xml:space="preserve"> 投标文件如是投标人的授权代表递交，则递交人必须与投标文件中的授权代表为同一人，否则投标文件将被拒收或作投标无效处理。</w:t>
      </w:r>
    </w:p>
    <w:p w14:paraId="4B9435CD">
      <w:pPr>
        <w:widowControl/>
        <w:tabs>
          <w:tab w:val="left" w:pos="142"/>
        </w:tabs>
        <w:autoSpaceDE w:val="0"/>
        <w:autoSpaceDN w:val="0"/>
        <w:spacing w:line="360" w:lineRule="auto"/>
        <w:ind w:right="26"/>
        <w:jc w:val="left"/>
        <w:textAlignment w:val="bottom"/>
        <w:rPr>
          <w:rFonts w:ascii="宋体" w:hAnsi="宋体" w:cs="宋体"/>
          <w:color w:val="auto"/>
          <w:sz w:val="24"/>
          <w:highlight w:val="none"/>
        </w:rPr>
      </w:pPr>
    </w:p>
    <w:p w14:paraId="195476FC">
      <w:pPr>
        <w:numPr>
          <w:ilvl w:val="0"/>
          <w:numId w:val="18"/>
        </w:numPr>
        <w:adjustRightInd w:val="0"/>
        <w:snapToGrid w:val="0"/>
        <w:spacing w:line="360" w:lineRule="auto"/>
        <w:ind w:left="857" w:hanging="857"/>
        <w:outlineLvl w:val="3"/>
        <w:rPr>
          <w:rFonts w:ascii="宋体" w:hAnsi="宋体" w:cs="宋体"/>
          <w:b/>
          <w:bCs/>
          <w:color w:val="auto"/>
          <w:sz w:val="24"/>
          <w:highlight w:val="none"/>
        </w:rPr>
      </w:pPr>
      <w:r>
        <w:rPr>
          <w:rFonts w:hint="eastAsia" w:ascii="宋体" w:hAnsi="宋体" w:cs="宋体"/>
          <w:b/>
          <w:bCs/>
          <w:color w:val="auto"/>
          <w:sz w:val="24"/>
          <w:highlight w:val="none"/>
        </w:rPr>
        <w:t>迟交的投标文件</w:t>
      </w:r>
    </w:p>
    <w:p w14:paraId="1D54A6C7">
      <w:pPr>
        <w:widowControl/>
        <w:numPr>
          <w:ilvl w:val="1"/>
          <w:numId w:val="18"/>
        </w:numPr>
        <w:tabs>
          <w:tab w:val="left" w:pos="0"/>
        </w:tabs>
        <w:autoSpaceDE w:val="0"/>
        <w:autoSpaceDN w:val="0"/>
        <w:spacing w:line="360" w:lineRule="auto"/>
        <w:ind w:left="854" w:right="26" w:hanging="854"/>
        <w:jc w:val="left"/>
        <w:textAlignment w:val="bottom"/>
        <w:rPr>
          <w:rFonts w:ascii="宋体" w:hAnsi="宋体" w:cs="宋体"/>
          <w:color w:val="auto"/>
          <w:sz w:val="24"/>
          <w:highlight w:val="none"/>
        </w:rPr>
      </w:pPr>
      <w:r>
        <w:rPr>
          <w:rFonts w:hint="eastAsia" w:ascii="宋体" w:hAnsi="宋体" w:cs="宋体"/>
          <w:color w:val="auto"/>
          <w:sz w:val="24"/>
          <w:highlight w:val="none"/>
        </w:rPr>
        <w:t xml:space="preserve"> 根据</w:t>
      </w:r>
      <w:r>
        <w:rPr>
          <w:rFonts w:hint="eastAsia" w:ascii="宋体" w:hAnsi="宋体" w:cs="宋体"/>
          <w:b/>
          <w:bCs/>
          <w:color w:val="auto"/>
          <w:sz w:val="24"/>
          <w:highlight w:val="none"/>
        </w:rPr>
        <w:t>第20款</w:t>
      </w:r>
      <w:r>
        <w:rPr>
          <w:rFonts w:hint="eastAsia" w:ascii="宋体" w:hAnsi="宋体" w:cs="宋体"/>
          <w:color w:val="auto"/>
          <w:sz w:val="24"/>
          <w:highlight w:val="none"/>
        </w:rPr>
        <w:t>规定，采购</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将拒绝并原封退回在</w:t>
      </w:r>
      <w:r>
        <w:rPr>
          <w:rFonts w:hint="eastAsia" w:ascii="宋体" w:hAnsi="宋体" w:cs="宋体"/>
          <w:b/>
          <w:bCs/>
          <w:color w:val="auto"/>
          <w:sz w:val="24"/>
          <w:highlight w:val="none"/>
        </w:rPr>
        <w:t>第20款</w:t>
      </w:r>
      <w:r>
        <w:rPr>
          <w:rFonts w:hint="eastAsia" w:ascii="宋体" w:hAnsi="宋体" w:cs="宋体"/>
          <w:color w:val="auto"/>
          <w:sz w:val="24"/>
          <w:highlight w:val="none"/>
        </w:rPr>
        <w:t>规定的截止期后收到的任何投标文件。</w:t>
      </w:r>
    </w:p>
    <w:p w14:paraId="4BC2DB27">
      <w:pPr>
        <w:widowControl/>
        <w:tabs>
          <w:tab w:val="left" w:pos="284"/>
        </w:tabs>
        <w:autoSpaceDE w:val="0"/>
        <w:autoSpaceDN w:val="0"/>
        <w:spacing w:line="360" w:lineRule="auto"/>
        <w:ind w:right="26"/>
        <w:jc w:val="left"/>
        <w:textAlignment w:val="bottom"/>
        <w:rPr>
          <w:rFonts w:ascii="宋体" w:hAnsi="宋体" w:cs="宋体"/>
          <w:color w:val="auto"/>
          <w:sz w:val="24"/>
          <w:highlight w:val="none"/>
        </w:rPr>
      </w:pPr>
    </w:p>
    <w:p w14:paraId="43A628C8">
      <w:pPr>
        <w:numPr>
          <w:ilvl w:val="0"/>
          <w:numId w:val="18"/>
        </w:numPr>
        <w:adjustRightInd w:val="0"/>
        <w:snapToGrid w:val="0"/>
        <w:spacing w:line="360" w:lineRule="auto"/>
        <w:ind w:left="857" w:hanging="857"/>
        <w:outlineLvl w:val="3"/>
        <w:rPr>
          <w:rFonts w:ascii="宋体" w:hAnsi="宋体" w:cs="宋体"/>
          <w:b/>
          <w:bCs/>
          <w:color w:val="auto"/>
          <w:sz w:val="24"/>
          <w:highlight w:val="none"/>
        </w:rPr>
      </w:pPr>
      <w:r>
        <w:rPr>
          <w:rFonts w:hint="eastAsia" w:ascii="宋体" w:hAnsi="宋体" w:cs="宋体"/>
          <w:b/>
          <w:bCs/>
          <w:color w:val="auto"/>
          <w:sz w:val="24"/>
          <w:highlight w:val="none"/>
        </w:rPr>
        <w:t>投标文件的修改和撤回</w:t>
      </w:r>
    </w:p>
    <w:p w14:paraId="7C57CD87">
      <w:pPr>
        <w:widowControl/>
        <w:numPr>
          <w:ilvl w:val="1"/>
          <w:numId w:val="18"/>
        </w:numPr>
        <w:tabs>
          <w:tab w:val="left" w:pos="142"/>
        </w:tabs>
        <w:autoSpaceDE w:val="0"/>
        <w:autoSpaceDN w:val="0"/>
        <w:spacing w:line="360" w:lineRule="auto"/>
        <w:ind w:left="857" w:right="26" w:hanging="857"/>
        <w:jc w:val="left"/>
        <w:textAlignment w:val="bottom"/>
        <w:rPr>
          <w:rFonts w:ascii="宋体" w:hAnsi="宋体" w:cs="宋体"/>
          <w:color w:val="auto"/>
          <w:sz w:val="24"/>
          <w:highlight w:val="none"/>
        </w:rPr>
      </w:pPr>
      <w:r>
        <w:rPr>
          <w:rFonts w:hint="eastAsia" w:ascii="宋体" w:hAnsi="宋体" w:cs="宋体"/>
          <w:color w:val="auto"/>
          <w:sz w:val="24"/>
          <w:highlight w:val="none"/>
        </w:rPr>
        <w:t xml:space="preserve"> 投标人在提交投标文件后可对其投标文件进行修改或撤回，但</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须在提交投标文件截止日期前收到该修改或撤回的书面通知。该通知需由正式授权的投标人的全权代表的签字。</w:t>
      </w:r>
    </w:p>
    <w:p w14:paraId="63E44FA8">
      <w:pPr>
        <w:widowControl/>
        <w:numPr>
          <w:ilvl w:val="1"/>
          <w:numId w:val="18"/>
        </w:numPr>
        <w:tabs>
          <w:tab w:val="left" w:pos="142"/>
        </w:tabs>
        <w:autoSpaceDE w:val="0"/>
        <w:autoSpaceDN w:val="0"/>
        <w:spacing w:line="360" w:lineRule="auto"/>
        <w:ind w:left="857" w:right="26" w:hanging="857"/>
        <w:jc w:val="left"/>
        <w:textAlignment w:val="bottom"/>
        <w:rPr>
          <w:rFonts w:ascii="宋体" w:hAnsi="宋体" w:cs="宋体"/>
          <w:color w:val="auto"/>
          <w:sz w:val="24"/>
          <w:highlight w:val="none"/>
        </w:rPr>
      </w:pPr>
      <w:r>
        <w:rPr>
          <w:rFonts w:hint="eastAsia" w:ascii="宋体" w:hAnsi="宋体" w:cs="宋体"/>
          <w:color w:val="auto"/>
          <w:sz w:val="24"/>
          <w:highlight w:val="none"/>
        </w:rPr>
        <w:t xml:space="preserve"> 投标人对投标文件的修改或撤回的通知应按第18和19款规定进行准备、密封、标注和递送，并注明“修改投标文件”或“撤回投标”字样。</w:t>
      </w:r>
    </w:p>
    <w:p w14:paraId="131F9DF9">
      <w:pPr>
        <w:widowControl/>
        <w:numPr>
          <w:ilvl w:val="1"/>
          <w:numId w:val="18"/>
        </w:numPr>
        <w:tabs>
          <w:tab w:val="left" w:pos="142"/>
        </w:tabs>
        <w:autoSpaceDE w:val="0"/>
        <w:autoSpaceDN w:val="0"/>
        <w:spacing w:line="360" w:lineRule="auto"/>
        <w:ind w:left="857" w:right="26" w:hanging="857"/>
        <w:jc w:val="left"/>
        <w:textAlignment w:val="bottom"/>
        <w:rPr>
          <w:rFonts w:ascii="宋体" w:hAnsi="宋体" w:cs="宋体"/>
          <w:color w:val="auto"/>
          <w:sz w:val="24"/>
          <w:highlight w:val="none"/>
        </w:rPr>
      </w:pPr>
      <w:bookmarkStart w:id="33" w:name="_Toc26869"/>
      <w:r>
        <w:rPr>
          <w:rFonts w:hint="eastAsia" w:ascii="宋体" w:hAnsi="宋体" w:cs="宋体"/>
          <w:color w:val="auto"/>
          <w:sz w:val="24"/>
          <w:highlight w:val="none"/>
        </w:rPr>
        <w:t xml:space="preserve"> 投标截止日期后不得修改投标文件。</w:t>
      </w:r>
      <w:bookmarkEnd w:id="33"/>
    </w:p>
    <w:p w14:paraId="24152A6A">
      <w:pPr>
        <w:widowControl/>
        <w:numPr>
          <w:ilvl w:val="1"/>
          <w:numId w:val="18"/>
        </w:numPr>
        <w:tabs>
          <w:tab w:val="left" w:pos="142"/>
        </w:tabs>
        <w:autoSpaceDE w:val="0"/>
        <w:autoSpaceDN w:val="0"/>
        <w:spacing w:line="360" w:lineRule="auto"/>
        <w:ind w:left="857" w:right="26" w:hanging="857"/>
        <w:jc w:val="left"/>
        <w:textAlignment w:val="bottom"/>
        <w:rPr>
          <w:rFonts w:ascii="宋体" w:hAnsi="宋体" w:cs="宋体"/>
          <w:color w:val="auto"/>
          <w:sz w:val="24"/>
          <w:highlight w:val="none"/>
        </w:rPr>
      </w:pPr>
      <w:r>
        <w:rPr>
          <w:rFonts w:hint="eastAsia" w:ascii="宋体" w:hAnsi="宋体" w:cs="宋体"/>
          <w:color w:val="auto"/>
          <w:sz w:val="24"/>
          <w:highlight w:val="none"/>
        </w:rPr>
        <w:t xml:space="preserve"> 投标人不得在投标截止日起至第17款规定的投标文件有效期期满前撤销投标文件。</w:t>
      </w:r>
    </w:p>
    <w:p w14:paraId="45D5277E">
      <w:pPr>
        <w:widowControl/>
        <w:tabs>
          <w:tab w:val="left" w:pos="142"/>
        </w:tabs>
        <w:autoSpaceDE w:val="0"/>
        <w:autoSpaceDN w:val="0"/>
        <w:spacing w:line="360" w:lineRule="auto"/>
        <w:ind w:right="26"/>
        <w:jc w:val="left"/>
        <w:textAlignment w:val="bottom"/>
        <w:rPr>
          <w:rFonts w:ascii="宋体" w:hAnsi="宋体" w:cs="宋体"/>
          <w:color w:val="auto"/>
          <w:sz w:val="24"/>
          <w:highlight w:val="none"/>
        </w:rPr>
      </w:pPr>
    </w:p>
    <w:p w14:paraId="079F01A4">
      <w:pPr>
        <w:numPr>
          <w:ilvl w:val="0"/>
          <w:numId w:val="36"/>
        </w:numPr>
        <w:tabs>
          <w:tab w:val="left" w:pos="850"/>
        </w:tabs>
        <w:spacing w:before="240" w:after="240"/>
        <w:jc w:val="center"/>
        <w:outlineLvl w:val="2"/>
        <w:rPr>
          <w:rFonts w:ascii="宋体" w:hAnsi="宋体" w:cs="宋体"/>
          <w:b/>
          <w:bCs/>
          <w:color w:val="auto"/>
          <w:sz w:val="32"/>
          <w:szCs w:val="32"/>
          <w:highlight w:val="none"/>
        </w:rPr>
      </w:pPr>
      <w:r>
        <w:rPr>
          <w:rFonts w:hint="eastAsia" w:ascii="宋体" w:hAnsi="宋体" w:cs="宋体"/>
          <w:b/>
          <w:bCs/>
          <w:color w:val="auto"/>
          <w:sz w:val="32"/>
          <w:szCs w:val="32"/>
          <w:highlight w:val="none"/>
        </w:rPr>
        <w:t>开标与评审</w:t>
      </w:r>
    </w:p>
    <w:p w14:paraId="28A0324A">
      <w:pPr>
        <w:numPr>
          <w:ilvl w:val="0"/>
          <w:numId w:val="18"/>
        </w:numPr>
        <w:adjustRightInd w:val="0"/>
        <w:snapToGrid w:val="0"/>
        <w:spacing w:line="360" w:lineRule="auto"/>
        <w:ind w:left="857" w:hanging="857"/>
        <w:outlineLvl w:val="3"/>
        <w:rPr>
          <w:rFonts w:ascii="宋体" w:hAnsi="宋体" w:cs="宋体"/>
          <w:b/>
          <w:bCs/>
          <w:color w:val="auto"/>
          <w:sz w:val="24"/>
          <w:highlight w:val="none"/>
        </w:rPr>
      </w:pPr>
      <w:r>
        <w:rPr>
          <w:rFonts w:hint="eastAsia" w:ascii="宋体" w:hAnsi="宋体" w:cs="宋体"/>
          <w:b/>
          <w:bCs/>
          <w:color w:val="auto"/>
          <w:sz w:val="24"/>
          <w:highlight w:val="none"/>
        </w:rPr>
        <w:t>开标</w:t>
      </w:r>
    </w:p>
    <w:p w14:paraId="55C986F3">
      <w:pPr>
        <w:widowControl/>
        <w:numPr>
          <w:ilvl w:val="1"/>
          <w:numId w:val="18"/>
        </w:numPr>
        <w:tabs>
          <w:tab w:val="left" w:pos="142"/>
        </w:tabs>
        <w:autoSpaceDE w:val="0"/>
        <w:autoSpaceDN w:val="0"/>
        <w:spacing w:line="360" w:lineRule="auto"/>
        <w:ind w:left="857" w:right="26" w:hanging="857"/>
        <w:jc w:val="left"/>
        <w:textAlignment w:val="bottom"/>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校内招投标小组</w:t>
      </w:r>
      <w:r>
        <w:rPr>
          <w:rFonts w:hint="eastAsia" w:ascii="宋体" w:hAnsi="宋体" w:cs="宋体"/>
          <w:color w:val="auto"/>
          <w:sz w:val="24"/>
          <w:highlight w:val="none"/>
        </w:rPr>
        <w:t>在</w:t>
      </w:r>
      <w:r>
        <w:rPr>
          <w:rFonts w:hint="eastAsia" w:ascii="宋体" w:hAnsi="宋体" w:cs="宋体"/>
          <w:b/>
          <w:bCs/>
          <w:color w:val="auto"/>
          <w:sz w:val="24"/>
          <w:highlight w:val="none"/>
        </w:rPr>
        <w:t>《投标人须知前附表》</w:t>
      </w:r>
      <w:r>
        <w:rPr>
          <w:rFonts w:hint="eastAsia" w:ascii="宋体" w:hAnsi="宋体" w:cs="宋体"/>
          <w:color w:val="auto"/>
          <w:sz w:val="24"/>
          <w:highlight w:val="none"/>
        </w:rPr>
        <w:t>规定的地点和时间组织公开开标</w:t>
      </w:r>
      <w:r>
        <w:rPr>
          <w:rFonts w:hint="eastAsia" w:ascii="宋体" w:hAnsi="宋体" w:cs="宋体"/>
          <w:color w:val="auto"/>
          <w:sz w:val="24"/>
          <w:highlight w:val="none"/>
          <w:lang w:eastAsia="zh-CN"/>
        </w:rPr>
        <w:t>，</w:t>
      </w:r>
      <w:r>
        <w:rPr>
          <w:rFonts w:hint="eastAsia" w:ascii="宋体" w:hAnsi="宋体" w:cs="宋体"/>
          <w:color w:val="auto"/>
          <w:sz w:val="24"/>
          <w:highlight w:val="none"/>
        </w:rPr>
        <w:t>出席代表需签名报到以证明其出席</w:t>
      </w:r>
      <w:r>
        <w:rPr>
          <w:rFonts w:hint="eastAsia" w:ascii="宋体" w:hAnsi="宋体" w:cs="宋体"/>
          <w:color w:val="auto"/>
          <w:sz w:val="24"/>
          <w:highlight w:val="none"/>
          <w:lang w:eastAsia="zh-CN"/>
        </w:rPr>
        <w:t>。</w:t>
      </w:r>
    </w:p>
    <w:p w14:paraId="4A89E50C">
      <w:pPr>
        <w:widowControl/>
        <w:numPr>
          <w:ilvl w:val="1"/>
          <w:numId w:val="18"/>
        </w:numPr>
        <w:tabs>
          <w:tab w:val="left" w:pos="142"/>
        </w:tabs>
        <w:autoSpaceDE w:val="0"/>
        <w:autoSpaceDN w:val="0"/>
        <w:spacing w:line="360" w:lineRule="auto"/>
        <w:ind w:left="857" w:right="26" w:hanging="857"/>
        <w:jc w:val="left"/>
        <w:textAlignment w:val="bottom"/>
        <w:rPr>
          <w:rFonts w:ascii="宋体" w:hAnsi="宋体" w:cs="宋体"/>
          <w:color w:val="auto"/>
          <w:sz w:val="24"/>
          <w:highlight w:val="none"/>
        </w:rPr>
      </w:pPr>
      <w:r>
        <w:rPr>
          <w:rFonts w:hint="eastAsia" w:ascii="宋体" w:hAnsi="宋体" w:cs="宋体"/>
          <w:color w:val="auto"/>
          <w:sz w:val="24"/>
          <w:highlight w:val="none"/>
        </w:rPr>
        <w:t xml:space="preserve"> 按照</w:t>
      </w:r>
      <w:r>
        <w:rPr>
          <w:rFonts w:hint="eastAsia" w:ascii="宋体" w:hAnsi="宋体" w:cs="宋体"/>
          <w:b/>
          <w:bCs/>
          <w:color w:val="auto"/>
          <w:sz w:val="24"/>
          <w:highlight w:val="none"/>
        </w:rPr>
        <w:t>第22款</w:t>
      </w:r>
      <w:r>
        <w:rPr>
          <w:rFonts w:hint="eastAsia" w:ascii="宋体" w:hAnsi="宋体" w:cs="宋体"/>
          <w:color w:val="auto"/>
          <w:sz w:val="24"/>
          <w:highlight w:val="none"/>
        </w:rPr>
        <w:t>规定，提交了可接受的“撤回”通知的投标将不予开封。</w:t>
      </w:r>
    </w:p>
    <w:p w14:paraId="5329A330">
      <w:pPr>
        <w:widowControl/>
        <w:numPr>
          <w:ilvl w:val="1"/>
          <w:numId w:val="18"/>
        </w:numPr>
        <w:tabs>
          <w:tab w:val="left" w:pos="142"/>
        </w:tabs>
        <w:autoSpaceDE w:val="0"/>
        <w:autoSpaceDN w:val="0"/>
        <w:spacing w:line="360" w:lineRule="auto"/>
        <w:ind w:left="857" w:right="26" w:hanging="857"/>
        <w:jc w:val="left"/>
        <w:textAlignment w:val="bottom"/>
        <w:rPr>
          <w:rFonts w:ascii="宋体" w:hAnsi="宋体" w:cs="宋体"/>
          <w:color w:val="auto"/>
          <w:sz w:val="24"/>
          <w:highlight w:val="none"/>
        </w:rPr>
      </w:pPr>
      <w:r>
        <w:rPr>
          <w:rFonts w:hint="eastAsia" w:ascii="宋体" w:hAnsi="宋体" w:cs="宋体"/>
          <w:color w:val="auto"/>
          <w:sz w:val="24"/>
          <w:highlight w:val="none"/>
        </w:rPr>
        <w:t xml:space="preserve"> 开标时，</w:t>
      </w:r>
      <w:r>
        <w:rPr>
          <w:rFonts w:hint="eastAsia" w:ascii="宋体" w:hAnsi="宋体" w:cs="宋体"/>
          <w:color w:val="auto"/>
          <w:sz w:val="24"/>
          <w:highlight w:val="none"/>
          <w:lang w:val="en-US" w:eastAsia="zh-CN"/>
        </w:rPr>
        <w:t>校内招投标小组组长</w:t>
      </w:r>
      <w:r>
        <w:rPr>
          <w:rFonts w:hint="eastAsia" w:ascii="宋体" w:hAnsi="宋体" w:cs="宋体"/>
          <w:color w:val="auto"/>
          <w:sz w:val="24"/>
          <w:highlight w:val="none"/>
        </w:rPr>
        <w:t>将当众宣读各投标人名称、投标货物或服务名称、投标价格、折扣声明、书面修改和撤回投标的通知，以及认为合适的其他内容。</w:t>
      </w:r>
    </w:p>
    <w:p w14:paraId="06893BDD">
      <w:pPr>
        <w:widowControl/>
        <w:numPr>
          <w:ilvl w:val="1"/>
          <w:numId w:val="18"/>
        </w:numPr>
        <w:tabs>
          <w:tab w:val="left" w:pos="142"/>
        </w:tabs>
        <w:autoSpaceDE w:val="0"/>
        <w:autoSpaceDN w:val="0"/>
        <w:spacing w:line="360" w:lineRule="auto"/>
        <w:ind w:left="857" w:right="26" w:hanging="857"/>
        <w:jc w:val="left"/>
        <w:textAlignment w:val="bottom"/>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校内招投标小组</w:t>
      </w:r>
      <w:r>
        <w:rPr>
          <w:rFonts w:hint="eastAsia" w:ascii="宋体" w:hAnsi="宋体" w:cs="宋体"/>
          <w:color w:val="auto"/>
          <w:sz w:val="24"/>
          <w:highlight w:val="none"/>
        </w:rPr>
        <w:t>将做开标记录，开标记录包括按</w:t>
      </w:r>
      <w:r>
        <w:rPr>
          <w:rFonts w:hint="eastAsia" w:ascii="宋体" w:hAnsi="宋体" w:cs="宋体"/>
          <w:b/>
          <w:bCs/>
          <w:color w:val="auto"/>
          <w:sz w:val="24"/>
          <w:highlight w:val="none"/>
        </w:rPr>
        <w:t>第23.3款</w:t>
      </w:r>
      <w:r>
        <w:rPr>
          <w:rFonts w:hint="eastAsia" w:ascii="宋体" w:hAnsi="宋体" w:cs="宋体"/>
          <w:color w:val="auto"/>
          <w:sz w:val="24"/>
          <w:highlight w:val="none"/>
        </w:rPr>
        <w:t>的规定在开标时宣读的全部内容。与会的投标人代表应在开标记录上签字确认。</w:t>
      </w:r>
    </w:p>
    <w:p w14:paraId="37C230AD">
      <w:pPr>
        <w:widowControl/>
        <w:tabs>
          <w:tab w:val="left" w:pos="142"/>
        </w:tabs>
        <w:autoSpaceDE w:val="0"/>
        <w:autoSpaceDN w:val="0"/>
        <w:spacing w:line="360" w:lineRule="auto"/>
        <w:ind w:right="26"/>
        <w:jc w:val="left"/>
        <w:textAlignment w:val="bottom"/>
        <w:rPr>
          <w:rFonts w:ascii="宋体" w:hAnsi="宋体" w:cs="宋体"/>
          <w:color w:val="auto"/>
          <w:sz w:val="24"/>
          <w:highlight w:val="none"/>
        </w:rPr>
      </w:pPr>
    </w:p>
    <w:p w14:paraId="01BD3B4E">
      <w:pPr>
        <w:numPr>
          <w:ilvl w:val="0"/>
          <w:numId w:val="18"/>
        </w:numPr>
        <w:adjustRightInd w:val="0"/>
        <w:snapToGrid w:val="0"/>
        <w:spacing w:line="360" w:lineRule="auto"/>
        <w:ind w:left="857" w:hanging="857"/>
        <w:outlineLvl w:val="3"/>
        <w:rPr>
          <w:rFonts w:ascii="宋体" w:hAnsi="宋体" w:cs="宋体"/>
          <w:b/>
          <w:bCs/>
          <w:color w:val="auto"/>
          <w:sz w:val="24"/>
          <w:highlight w:val="none"/>
        </w:rPr>
      </w:pPr>
      <w:r>
        <w:rPr>
          <w:rFonts w:hint="eastAsia" w:ascii="宋体" w:hAnsi="宋体" w:cs="宋体"/>
          <w:b/>
          <w:bCs/>
          <w:color w:val="auto"/>
          <w:sz w:val="24"/>
          <w:highlight w:val="none"/>
        </w:rPr>
        <w:t>评审过程的保密性</w:t>
      </w:r>
    </w:p>
    <w:p w14:paraId="0E27B845">
      <w:pPr>
        <w:numPr>
          <w:ilvl w:val="1"/>
          <w:numId w:val="18"/>
        </w:numPr>
        <w:adjustRightInd w:val="0"/>
        <w:snapToGrid w:val="0"/>
        <w:spacing w:line="360" w:lineRule="auto"/>
        <w:ind w:left="854" w:hanging="854"/>
        <w:rPr>
          <w:rFonts w:ascii="宋体" w:hAnsi="宋体" w:cs="宋体"/>
          <w:color w:val="auto"/>
          <w:sz w:val="24"/>
          <w:highlight w:val="none"/>
        </w:rPr>
      </w:pPr>
      <w:r>
        <w:rPr>
          <w:rFonts w:hint="eastAsia" w:ascii="宋体" w:hAnsi="宋体" w:cs="宋体"/>
          <w:color w:val="auto"/>
          <w:sz w:val="24"/>
          <w:highlight w:val="none"/>
        </w:rPr>
        <w:t xml:space="preserve"> 公开开标后，直至向中标的投标人授予合同时止，凡与审查、质疑、评估和比较投标的有关资料以及授标意见等，均不得向投标人及与评审无关的其他人透露。</w:t>
      </w:r>
    </w:p>
    <w:p w14:paraId="51390F89">
      <w:pPr>
        <w:adjustRightInd w:val="0"/>
        <w:snapToGrid w:val="0"/>
        <w:spacing w:line="360" w:lineRule="auto"/>
        <w:rPr>
          <w:rFonts w:ascii="宋体" w:hAnsi="宋体" w:cs="宋体"/>
          <w:color w:val="auto"/>
          <w:sz w:val="24"/>
          <w:highlight w:val="none"/>
        </w:rPr>
      </w:pPr>
    </w:p>
    <w:p w14:paraId="4721C878">
      <w:pPr>
        <w:numPr>
          <w:ilvl w:val="0"/>
          <w:numId w:val="18"/>
        </w:numPr>
        <w:adjustRightInd w:val="0"/>
        <w:snapToGrid w:val="0"/>
        <w:spacing w:line="360" w:lineRule="auto"/>
        <w:ind w:left="857" w:hanging="857"/>
        <w:outlineLvl w:val="3"/>
        <w:rPr>
          <w:rFonts w:ascii="宋体" w:hAnsi="宋体" w:cs="宋体"/>
          <w:b/>
          <w:bCs/>
          <w:color w:val="auto"/>
          <w:sz w:val="24"/>
          <w:highlight w:val="none"/>
        </w:rPr>
      </w:pPr>
      <w:r>
        <w:rPr>
          <w:rFonts w:hint="eastAsia" w:ascii="宋体" w:hAnsi="宋体" w:cs="宋体"/>
          <w:b/>
          <w:bCs/>
          <w:color w:val="auto"/>
          <w:sz w:val="24"/>
          <w:highlight w:val="none"/>
          <w:lang w:val="en-US" w:eastAsia="zh-CN"/>
        </w:rPr>
        <w:t>校内招投标小组</w:t>
      </w:r>
    </w:p>
    <w:p w14:paraId="041875DF">
      <w:pPr>
        <w:numPr>
          <w:ilvl w:val="1"/>
          <w:numId w:val="18"/>
        </w:numPr>
        <w:tabs>
          <w:tab w:val="left" w:pos="420"/>
        </w:tabs>
        <w:adjustRightInd w:val="0"/>
        <w:snapToGrid w:val="0"/>
        <w:spacing w:line="360" w:lineRule="auto"/>
        <w:ind w:left="854" w:hanging="854"/>
        <w:rPr>
          <w:rFonts w:ascii="宋体" w:hAnsi="宋体" w:cs="宋体"/>
          <w:color w:val="auto"/>
          <w:sz w:val="24"/>
          <w:highlight w:val="none"/>
        </w:rPr>
      </w:pPr>
      <w:r>
        <w:rPr>
          <w:rFonts w:hint="eastAsia" w:ascii="宋体" w:hAnsi="宋体" w:cs="宋体"/>
          <w:color w:val="auto"/>
          <w:sz w:val="24"/>
          <w:highlight w:val="none"/>
        </w:rPr>
        <w:t xml:space="preserve"> 依照有关法规依照有关法律法规组建资格审查组。资格审查组由</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人组成，成员由</w:t>
      </w:r>
      <w:r>
        <w:rPr>
          <w:rFonts w:hint="eastAsia" w:ascii="宋体" w:hAnsi="宋体" w:cs="宋体"/>
          <w:color w:val="auto"/>
          <w:sz w:val="24"/>
          <w:highlight w:val="none"/>
          <w:lang w:val="en-US" w:eastAsia="zh-CN"/>
        </w:rPr>
        <w:t>学校招投标专家库中抽取</w:t>
      </w:r>
      <w:r>
        <w:rPr>
          <w:rFonts w:hint="eastAsia" w:ascii="宋体" w:hAnsi="宋体" w:cs="宋体"/>
          <w:color w:val="auto"/>
          <w:sz w:val="24"/>
          <w:highlight w:val="none"/>
        </w:rPr>
        <w:t>。资格审查组依据有关法律法规对投标人递交的投标文件的资格性进行审查。</w:t>
      </w:r>
    </w:p>
    <w:p w14:paraId="18CA7E4C">
      <w:pPr>
        <w:numPr>
          <w:ilvl w:val="1"/>
          <w:numId w:val="18"/>
        </w:numPr>
        <w:tabs>
          <w:tab w:val="left" w:pos="420"/>
        </w:tabs>
        <w:adjustRightInd w:val="0"/>
        <w:snapToGrid w:val="0"/>
        <w:spacing w:line="360" w:lineRule="auto"/>
        <w:ind w:left="854" w:hanging="854"/>
        <w:rPr>
          <w:rFonts w:ascii="宋体" w:hAnsi="宋体" w:cs="宋体"/>
          <w:color w:val="auto"/>
          <w:sz w:val="24"/>
          <w:highlight w:val="none"/>
        </w:rPr>
      </w:pPr>
      <w:r>
        <w:rPr>
          <w:rFonts w:hint="eastAsia" w:ascii="宋体" w:hAnsi="宋体" w:cs="宋体"/>
          <w:color w:val="auto"/>
          <w:sz w:val="24"/>
          <w:highlight w:val="none"/>
        </w:rPr>
        <w:t xml:space="preserve"> 依照有关法律法规组建</w:t>
      </w:r>
      <w:r>
        <w:rPr>
          <w:rFonts w:hint="eastAsia" w:ascii="宋体" w:hAnsi="宋体" w:cs="宋体"/>
          <w:color w:val="auto"/>
          <w:sz w:val="24"/>
          <w:highlight w:val="none"/>
          <w:lang w:val="en-US" w:eastAsia="zh-CN"/>
        </w:rPr>
        <w:t>校内招投标小组</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校内招投标小组</w:t>
      </w:r>
      <w:r>
        <w:rPr>
          <w:rFonts w:hint="eastAsia" w:ascii="宋体" w:hAnsi="宋体" w:cs="宋体"/>
          <w:color w:val="auto"/>
          <w:kern w:val="0"/>
          <w:sz w:val="24"/>
          <w:highlight w:val="none"/>
        </w:rPr>
        <w:t>由评审专家组成，人数为五人以上的单数，评审专家是通过随机方式从</w:t>
      </w:r>
      <w:r>
        <w:rPr>
          <w:rFonts w:hint="eastAsia" w:ascii="宋体" w:hAnsi="宋体" w:cs="宋体"/>
          <w:color w:val="auto"/>
          <w:sz w:val="24"/>
          <w:highlight w:val="none"/>
          <w:lang w:val="en-US" w:eastAsia="zh-CN"/>
        </w:rPr>
        <w:t>学校招投标专家库</w:t>
      </w:r>
      <w:r>
        <w:rPr>
          <w:rFonts w:hint="eastAsia" w:ascii="宋体" w:hAnsi="宋体" w:cs="宋体"/>
          <w:color w:val="auto"/>
          <w:kern w:val="0"/>
          <w:sz w:val="24"/>
          <w:highlight w:val="none"/>
        </w:rPr>
        <w:t>中选取的</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校内招投标小组</w:t>
      </w:r>
      <w:r>
        <w:rPr>
          <w:rFonts w:hint="eastAsia" w:ascii="宋体" w:hAnsi="宋体" w:cs="宋体"/>
          <w:color w:val="auto"/>
          <w:sz w:val="24"/>
          <w:highlight w:val="none"/>
        </w:rPr>
        <w:t>依照有关法律法规负责评审工作，并独立履行下列职责：审查投标文件是否符合招标文件要求，并作出评价；要求投标人对投标文件有关事项做出澄清。</w:t>
      </w:r>
    </w:p>
    <w:p w14:paraId="57396E53">
      <w:pPr>
        <w:numPr>
          <w:ilvl w:val="1"/>
          <w:numId w:val="18"/>
        </w:numPr>
        <w:tabs>
          <w:tab w:val="left" w:pos="420"/>
        </w:tabs>
        <w:adjustRightInd w:val="0"/>
        <w:snapToGrid w:val="0"/>
        <w:spacing w:line="360" w:lineRule="auto"/>
        <w:ind w:left="854" w:hanging="854"/>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校内招投标小组</w:t>
      </w:r>
      <w:r>
        <w:rPr>
          <w:rFonts w:hint="eastAsia" w:ascii="宋体" w:hAnsi="宋体" w:cs="宋体"/>
          <w:color w:val="auto"/>
          <w:sz w:val="24"/>
          <w:highlight w:val="none"/>
        </w:rPr>
        <w:t>成员对需要共同认定的事项存在争议的，应当按照少数服从多数的原则作出结论。持不同意见的</w:t>
      </w:r>
      <w:r>
        <w:rPr>
          <w:rFonts w:hint="eastAsia" w:ascii="宋体" w:hAnsi="宋体" w:cs="宋体"/>
          <w:color w:val="auto"/>
          <w:sz w:val="24"/>
          <w:highlight w:val="none"/>
          <w:lang w:val="en-US" w:eastAsia="zh-CN"/>
        </w:rPr>
        <w:t>校内招投标小组</w:t>
      </w:r>
      <w:r>
        <w:rPr>
          <w:rFonts w:hint="eastAsia" w:ascii="宋体" w:hAnsi="宋体" w:cs="宋体"/>
          <w:color w:val="auto"/>
          <w:sz w:val="24"/>
          <w:highlight w:val="none"/>
        </w:rPr>
        <w:t>成员应当在评标报告上签署不同意见及理由，否则视为同意评标报告。</w:t>
      </w:r>
    </w:p>
    <w:p w14:paraId="6BC5351F">
      <w:pPr>
        <w:numPr>
          <w:ilvl w:val="1"/>
          <w:numId w:val="18"/>
        </w:numPr>
        <w:tabs>
          <w:tab w:val="left" w:pos="420"/>
        </w:tabs>
        <w:adjustRightInd w:val="0"/>
        <w:snapToGrid w:val="0"/>
        <w:spacing w:line="360" w:lineRule="auto"/>
        <w:ind w:left="854" w:hanging="854"/>
        <w:rPr>
          <w:rFonts w:ascii="宋体" w:hAnsi="宋体" w:cs="宋体"/>
          <w:color w:val="auto"/>
          <w:sz w:val="24"/>
          <w:highlight w:val="none"/>
        </w:rPr>
      </w:pPr>
      <w:bookmarkStart w:id="34" w:name="_Toc21367"/>
      <w:r>
        <w:rPr>
          <w:rFonts w:hint="eastAsia" w:ascii="宋体" w:hAnsi="宋体" w:cs="宋体"/>
          <w:color w:val="auto"/>
          <w:sz w:val="24"/>
          <w:highlight w:val="none"/>
        </w:rPr>
        <w:t xml:space="preserve"> 评审纪律</w:t>
      </w:r>
      <w:bookmarkEnd w:id="34"/>
    </w:p>
    <w:p w14:paraId="6225FCFC">
      <w:pPr>
        <w:spacing w:line="360" w:lineRule="auto"/>
        <w:ind w:left="840" w:leftChars="400"/>
        <w:rPr>
          <w:rFonts w:ascii="宋体" w:hAnsi="宋体"/>
          <w:color w:val="auto"/>
          <w:sz w:val="24"/>
          <w:highlight w:val="none"/>
        </w:rPr>
      </w:pPr>
      <w:r>
        <w:rPr>
          <w:rFonts w:hint="eastAsia" w:ascii="宋体" w:hAnsi="宋体"/>
          <w:color w:val="auto"/>
          <w:sz w:val="24"/>
          <w:highlight w:val="none"/>
        </w:rPr>
        <w:t>为确保评标工作的顺利进行，凡参与评审的评委和工作人员都必须认真执行本规定：</w:t>
      </w:r>
    </w:p>
    <w:p w14:paraId="0702155A">
      <w:pPr>
        <w:spacing w:line="360" w:lineRule="auto"/>
        <w:ind w:left="838" w:leftChars="399"/>
        <w:rPr>
          <w:rFonts w:ascii="宋体" w:hAnsi="宋体"/>
          <w:color w:val="auto"/>
          <w:sz w:val="24"/>
          <w:highlight w:val="none"/>
        </w:rPr>
      </w:pPr>
      <w:r>
        <w:rPr>
          <w:rFonts w:hint="eastAsia" w:ascii="宋体" w:hAnsi="宋体"/>
          <w:color w:val="auto"/>
          <w:sz w:val="24"/>
          <w:highlight w:val="none"/>
        </w:rPr>
        <w:t>（1）进入评标室的相关人员必须严格遵守国家和深圳市有关招标采购的相关法律法规和政策等，遵守职业道德，遵循客观、公平、公正原则，依法为招标采购工作提供真实、准确、可靠的评审意见。</w:t>
      </w:r>
    </w:p>
    <w:p w14:paraId="47C1C779">
      <w:pPr>
        <w:spacing w:line="360" w:lineRule="auto"/>
        <w:ind w:left="838" w:leftChars="399"/>
        <w:rPr>
          <w:rFonts w:ascii="宋体" w:hAnsi="宋体"/>
          <w:color w:val="auto"/>
          <w:sz w:val="24"/>
          <w:highlight w:val="none"/>
        </w:rPr>
      </w:pPr>
      <w:r>
        <w:rPr>
          <w:rFonts w:hint="eastAsia" w:ascii="宋体" w:hAnsi="宋体"/>
          <w:color w:val="auto"/>
          <w:sz w:val="24"/>
          <w:highlight w:val="none"/>
        </w:rPr>
        <w:t>（2）与投标人有利害关系的应主动回避；</w:t>
      </w:r>
    </w:p>
    <w:p w14:paraId="2069265C">
      <w:pPr>
        <w:spacing w:line="360" w:lineRule="auto"/>
        <w:ind w:left="838" w:leftChars="399"/>
        <w:rPr>
          <w:rFonts w:ascii="宋体" w:hAnsi="宋体"/>
          <w:color w:val="auto"/>
          <w:sz w:val="24"/>
          <w:highlight w:val="none"/>
        </w:rPr>
      </w:pPr>
      <w:r>
        <w:rPr>
          <w:rFonts w:hint="eastAsia" w:ascii="宋体" w:hAnsi="宋体"/>
          <w:color w:val="auto"/>
          <w:sz w:val="24"/>
          <w:highlight w:val="none"/>
        </w:rPr>
        <w:t>（3）不得私下与投标供应商发生不正当利益关系；</w:t>
      </w:r>
    </w:p>
    <w:p w14:paraId="3438E857">
      <w:pPr>
        <w:spacing w:line="360" w:lineRule="auto"/>
        <w:ind w:left="838" w:leftChars="399"/>
        <w:rPr>
          <w:rFonts w:ascii="宋体" w:hAnsi="宋体"/>
          <w:color w:val="auto"/>
          <w:sz w:val="24"/>
          <w:highlight w:val="none"/>
        </w:rPr>
      </w:pPr>
      <w:r>
        <w:rPr>
          <w:rFonts w:hint="eastAsia" w:ascii="宋体" w:hAnsi="宋体"/>
          <w:color w:val="auto"/>
          <w:sz w:val="24"/>
          <w:highlight w:val="none"/>
        </w:rPr>
        <w:t>（4）按时参加评标活动，评标过程中不得擅离职守，影响评标程序正常进行。</w:t>
      </w:r>
    </w:p>
    <w:p w14:paraId="75B647EE">
      <w:pPr>
        <w:spacing w:line="360" w:lineRule="auto"/>
        <w:ind w:left="838" w:leftChars="399"/>
        <w:rPr>
          <w:rFonts w:ascii="宋体" w:hAnsi="宋体"/>
          <w:color w:val="auto"/>
          <w:sz w:val="24"/>
          <w:highlight w:val="none"/>
        </w:rPr>
      </w:pPr>
      <w:r>
        <w:rPr>
          <w:rFonts w:hint="eastAsia" w:ascii="宋体" w:hAnsi="宋体"/>
          <w:color w:val="auto"/>
          <w:sz w:val="24"/>
          <w:highlight w:val="none"/>
        </w:rPr>
        <w:t>（5）评标期间，暂停使用一切通讯工具；任何评委（包括采购人代表）在进入评审室前，应将所有电子通讯工具寄存。</w:t>
      </w:r>
    </w:p>
    <w:p w14:paraId="4C2BF0C0">
      <w:pPr>
        <w:spacing w:line="360" w:lineRule="auto"/>
        <w:ind w:left="838" w:leftChars="399"/>
        <w:rPr>
          <w:rFonts w:ascii="宋体" w:hAnsi="宋体"/>
          <w:color w:val="auto"/>
          <w:sz w:val="24"/>
          <w:highlight w:val="none"/>
        </w:rPr>
      </w:pPr>
      <w:r>
        <w:rPr>
          <w:rFonts w:hint="eastAsia" w:ascii="宋体" w:hAnsi="宋体"/>
          <w:color w:val="auto"/>
          <w:sz w:val="24"/>
          <w:highlight w:val="none"/>
        </w:rPr>
        <w:t>任何与评标无关的人员（包括亲朋好友和同事）不得进入评标场所。</w:t>
      </w:r>
    </w:p>
    <w:p w14:paraId="1211BA21">
      <w:pPr>
        <w:spacing w:line="360" w:lineRule="auto"/>
        <w:ind w:left="838" w:leftChars="399"/>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）在举行与各投标人的澄清会之前</w:t>
      </w:r>
      <w:r>
        <w:rPr>
          <w:rFonts w:hint="eastAsia" w:ascii="宋体" w:hAnsi="宋体"/>
          <w:color w:val="auto"/>
          <w:sz w:val="24"/>
          <w:highlight w:val="none"/>
          <w:lang w:val="en-US" w:eastAsia="zh-CN"/>
        </w:rPr>
        <w:t>校内招投标小组</w:t>
      </w:r>
      <w:r>
        <w:rPr>
          <w:rFonts w:hint="eastAsia" w:ascii="宋体" w:hAnsi="宋体"/>
          <w:color w:val="auto"/>
          <w:sz w:val="24"/>
          <w:highlight w:val="none"/>
        </w:rPr>
        <w:t>应明确参加会议的人员及主谈人。任何需要投标人在澄清会上澄清的问题必须经</w:t>
      </w:r>
      <w:r>
        <w:rPr>
          <w:rFonts w:hint="eastAsia" w:ascii="宋体" w:hAnsi="宋体"/>
          <w:color w:val="auto"/>
          <w:sz w:val="24"/>
          <w:highlight w:val="none"/>
          <w:lang w:val="en-US" w:eastAsia="zh-CN"/>
        </w:rPr>
        <w:t>校内招投标小组</w:t>
      </w:r>
      <w:r>
        <w:rPr>
          <w:rFonts w:hint="eastAsia" w:ascii="宋体" w:hAnsi="宋体"/>
          <w:color w:val="auto"/>
          <w:sz w:val="24"/>
          <w:highlight w:val="none"/>
        </w:rPr>
        <w:t>成员签字并由主谈人提出。在澄清期间，对于涉及本规定保密范畴的所有内容，主谈人不得向投标人透露；</w:t>
      </w:r>
    </w:p>
    <w:p w14:paraId="5053C783">
      <w:pPr>
        <w:spacing w:line="360" w:lineRule="auto"/>
        <w:ind w:left="838" w:leftChars="399"/>
        <w:rPr>
          <w:rFonts w:ascii="宋体" w:hAnsi="宋体"/>
          <w:color w:val="auto"/>
          <w:sz w:val="24"/>
          <w:highlight w:val="none"/>
        </w:rPr>
      </w:pPr>
      <w:r>
        <w:rPr>
          <w:rFonts w:hint="eastAsia" w:ascii="宋体" w:hAnsi="宋体"/>
          <w:color w:val="auto"/>
          <w:sz w:val="24"/>
          <w:highlight w:val="none"/>
        </w:rPr>
        <w:t>按照招标文件规定的评审内容、程序和方式方法、评标标准进行评标，不得改变招标文件中规定的评标内容和标准、程序、方式方法和中标条件。</w:t>
      </w:r>
    </w:p>
    <w:p w14:paraId="39718CB5">
      <w:pPr>
        <w:spacing w:line="360" w:lineRule="auto"/>
        <w:ind w:left="838" w:leftChars="399"/>
        <w:rPr>
          <w:rFonts w:ascii="宋体" w:hAnsi="宋体"/>
          <w:color w:val="auto"/>
          <w:sz w:val="24"/>
          <w:highlight w:val="none"/>
        </w:rPr>
      </w:pPr>
      <w:r>
        <w:rPr>
          <w:rFonts w:hint="eastAsia" w:ascii="宋体" w:hAnsi="宋体"/>
          <w:color w:val="auto"/>
          <w:sz w:val="24"/>
          <w:highlight w:val="none"/>
        </w:rPr>
        <w:t>（8）任何评委（包括采购人代表）都不得发表任何具有倾向性、诱导性的意见，不得影响和干预其他评委独立自主开展评审工作并签署个人意见，不得违背公正、公平原则，影响评标结果；</w:t>
      </w:r>
    </w:p>
    <w:p w14:paraId="60B39932">
      <w:pPr>
        <w:spacing w:line="360" w:lineRule="auto"/>
        <w:ind w:left="838" w:leftChars="399"/>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9</w:t>
      </w:r>
      <w:r>
        <w:rPr>
          <w:rFonts w:hint="eastAsia" w:ascii="宋体" w:hAnsi="宋体"/>
          <w:color w:val="auto"/>
          <w:sz w:val="24"/>
          <w:highlight w:val="none"/>
        </w:rPr>
        <w:t>）不得将投标文件和有关评审材料带离评标现场；所有的招标文件、投标文件、资料等一律编号登记。</w:t>
      </w:r>
    </w:p>
    <w:p w14:paraId="121EA587">
      <w:pPr>
        <w:spacing w:line="360" w:lineRule="auto"/>
        <w:ind w:left="838" w:leftChars="399"/>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0</w:t>
      </w:r>
      <w:r>
        <w:rPr>
          <w:rFonts w:hint="eastAsia" w:ascii="宋体" w:hAnsi="宋体"/>
          <w:color w:val="auto"/>
          <w:sz w:val="24"/>
          <w:highlight w:val="none"/>
        </w:rPr>
        <w:t>）廉洁自律，不得收受投标人、其他利害关系人的财物，谋取不正当利益。</w:t>
      </w:r>
    </w:p>
    <w:p w14:paraId="73010C71">
      <w:pPr>
        <w:rPr>
          <w:color w:val="auto"/>
          <w:sz w:val="24"/>
          <w:highlight w:val="none"/>
        </w:rPr>
      </w:pPr>
    </w:p>
    <w:p w14:paraId="390D3E6C">
      <w:pPr>
        <w:numPr>
          <w:ilvl w:val="0"/>
          <w:numId w:val="18"/>
        </w:numPr>
        <w:adjustRightInd w:val="0"/>
        <w:snapToGrid w:val="0"/>
        <w:spacing w:line="360" w:lineRule="auto"/>
        <w:ind w:left="857" w:hanging="857"/>
        <w:outlineLvl w:val="3"/>
        <w:rPr>
          <w:rFonts w:ascii="宋体" w:hAnsi="宋体" w:cs="宋体"/>
          <w:b/>
          <w:bCs/>
          <w:color w:val="auto"/>
          <w:sz w:val="24"/>
          <w:highlight w:val="none"/>
        </w:rPr>
      </w:pPr>
      <w:r>
        <w:rPr>
          <w:rFonts w:hint="eastAsia" w:ascii="宋体" w:hAnsi="宋体" w:cs="宋体"/>
          <w:b/>
          <w:bCs/>
          <w:color w:val="auto"/>
          <w:sz w:val="24"/>
          <w:highlight w:val="none"/>
        </w:rPr>
        <w:t>评审工作程序（评标大纲）</w:t>
      </w:r>
    </w:p>
    <w:p w14:paraId="6495D9F7">
      <w:pPr>
        <w:numPr>
          <w:ilvl w:val="1"/>
          <w:numId w:val="18"/>
        </w:numPr>
        <w:adjustRightInd w:val="0"/>
        <w:snapToGrid w:val="0"/>
        <w:spacing w:line="360" w:lineRule="auto"/>
        <w:ind w:left="425" w:hanging="425"/>
        <w:rPr>
          <w:rFonts w:ascii="宋体" w:hAnsi="宋体" w:cs="宋体"/>
          <w:b/>
          <w:bCs/>
          <w:color w:val="auto"/>
          <w:sz w:val="24"/>
          <w:highlight w:val="none"/>
        </w:rPr>
      </w:pPr>
      <w:bookmarkStart w:id="35" w:name="_Toc22542"/>
      <w:r>
        <w:rPr>
          <w:rFonts w:hint="eastAsia" w:ascii="宋体" w:hAnsi="宋体" w:cs="宋体"/>
          <w:b/>
          <w:bCs/>
          <w:color w:val="auto"/>
          <w:sz w:val="24"/>
          <w:highlight w:val="none"/>
        </w:rPr>
        <w:t xml:space="preserve"> 投标文件的初审</w:t>
      </w:r>
      <w:bookmarkEnd w:id="35"/>
      <w:r>
        <w:rPr>
          <w:rFonts w:hint="eastAsia" w:ascii="宋体" w:hAnsi="宋体" w:cs="宋体"/>
          <w:b/>
          <w:bCs/>
          <w:color w:val="auto"/>
          <w:sz w:val="24"/>
          <w:highlight w:val="none"/>
        </w:rPr>
        <w:t xml:space="preserve"> </w:t>
      </w:r>
    </w:p>
    <w:p w14:paraId="741C9D97">
      <w:pPr>
        <w:tabs>
          <w:tab w:val="left" w:pos="840"/>
        </w:tabs>
        <w:adjustRightInd w:val="0"/>
        <w:snapToGrid w:val="0"/>
        <w:spacing w:line="360" w:lineRule="auto"/>
        <w:ind w:left="825" w:hanging="825"/>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7</w:t>
      </w:r>
      <w:r>
        <w:rPr>
          <w:rFonts w:ascii="宋体" w:hAnsi="宋体" w:cs="宋体"/>
          <w:color w:val="auto"/>
          <w:sz w:val="24"/>
          <w:highlight w:val="none"/>
        </w:rPr>
        <w:t>.1.1.</w:t>
      </w:r>
      <w:r>
        <w:rPr>
          <w:rFonts w:hint="eastAsia" w:ascii="宋体" w:hAnsi="宋体" w:cs="宋体"/>
          <w:color w:val="auto"/>
          <w:sz w:val="24"/>
          <w:highlight w:val="none"/>
        </w:rPr>
        <w:t>开标后，</w:t>
      </w:r>
      <w:r>
        <w:rPr>
          <w:rFonts w:hint="eastAsia" w:ascii="宋体" w:hAnsi="宋体" w:cs="宋体"/>
          <w:color w:val="auto"/>
          <w:sz w:val="24"/>
          <w:highlight w:val="none"/>
          <w:lang w:val="en-US" w:eastAsia="zh-CN"/>
        </w:rPr>
        <w:t>校内招投标小组</w:t>
      </w:r>
      <w:r>
        <w:rPr>
          <w:rFonts w:hint="eastAsia" w:ascii="宋体" w:hAnsi="宋体" w:cs="宋体"/>
          <w:color w:val="auto"/>
          <w:sz w:val="24"/>
          <w:highlight w:val="none"/>
        </w:rPr>
        <w:t>将审查投标文件是否完整、总体编制是否有序、文件签署是否合格、有无计算上的错误等。</w:t>
      </w:r>
    </w:p>
    <w:p w14:paraId="2D0C0CED">
      <w:pPr>
        <w:tabs>
          <w:tab w:val="left" w:pos="840"/>
        </w:tabs>
        <w:adjustRightInd w:val="0"/>
        <w:snapToGrid w:val="0"/>
        <w:spacing w:line="360" w:lineRule="auto"/>
        <w:ind w:left="825" w:hanging="825"/>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7</w:t>
      </w:r>
      <w:r>
        <w:rPr>
          <w:rFonts w:ascii="宋体" w:hAnsi="宋体" w:cs="宋体"/>
          <w:color w:val="auto"/>
          <w:sz w:val="24"/>
          <w:highlight w:val="none"/>
        </w:rPr>
        <w:t>.1.2.</w:t>
      </w:r>
      <w:r>
        <w:rPr>
          <w:rFonts w:hint="eastAsia" w:ascii="宋体" w:hAnsi="宋体" w:cs="宋体"/>
          <w:color w:val="auto"/>
          <w:sz w:val="24"/>
          <w:highlight w:val="none"/>
        </w:rPr>
        <w:t>根据</w:t>
      </w:r>
      <w:r>
        <w:rPr>
          <w:rFonts w:hint="eastAsia" w:ascii="宋体" w:hAnsi="宋体" w:cs="宋体"/>
          <w:b/>
          <w:bCs/>
          <w:color w:val="auto"/>
          <w:sz w:val="24"/>
          <w:highlight w:val="none"/>
        </w:rPr>
        <w:t>第26.3款</w:t>
      </w:r>
      <w:r>
        <w:rPr>
          <w:rFonts w:hint="eastAsia" w:ascii="宋体" w:hAnsi="宋体" w:cs="宋体"/>
          <w:color w:val="auto"/>
          <w:sz w:val="24"/>
          <w:highlight w:val="none"/>
        </w:rPr>
        <w:t>规定对投标文件进行详细评估之前，</w:t>
      </w:r>
      <w:r>
        <w:rPr>
          <w:rFonts w:hint="eastAsia" w:ascii="宋体" w:hAnsi="宋体" w:cs="宋体"/>
          <w:color w:val="auto"/>
          <w:sz w:val="24"/>
          <w:highlight w:val="none"/>
          <w:lang w:val="en-US" w:eastAsia="zh-CN"/>
        </w:rPr>
        <w:t>校内招投标小组</w:t>
      </w:r>
      <w:r>
        <w:rPr>
          <w:rFonts w:hint="eastAsia" w:ascii="宋体" w:hAnsi="宋体" w:cs="宋体"/>
          <w:color w:val="auto"/>
          <w:sz w:val="24"/>
          <w:highlight w:val="none"/>
        </w:rPr>
        <w:t>要审查每份投标文件是否实质上响应了招标文件的要求。实质上响应的投标应该是与招标文件要求的全部条款、条件和规格相符，没有重大偏离的投标。对关键条款，例如关于法人授权、投标人资格等内容的偏离、保留和反对，将被认为是实质上的偏离。</w:t>
      </w:r>
      <w:r>
        <w:rPr>
          <w:rFonts w:hint="eastAsia" w:ascii="宋体" w:hAnsi="宋体" w:cs="宋体"/>
          <w:color w:val="auto"/>
          <w:sz w:val="24"/>
          <w:highlight w:val="none"/>
          <w:lang w:val="en-US" w:eastAsia="zh-CN"/>
        </w:rPr>
        <w:t>校内招投标小组</w:t>
      </w:r>
      <w:r>
        <w:rPr>
          <w:rFonts w:hint="eastAsia" w:ascii="宋体" w:hAnsi="宋体" w:cs="宋体"/>
          <w:color w:val="auto"/>
          <w:sz w:val="24"/>
          <w:highlight w:val="none"/>
        </w:rPr>
        <w:t>决定投标文件的响应性是基于投标文件的内容本身而不依靠外部的证据，但投标有不真实不正确的内容时除外。</w:t>
      </w:r>
    </w:p>
    <w:p w14:paraId="2CA31670">
      <w:pPr>
        <w:tabs>
          <w:tab w:val="left" w:pos="840"/>
        </w:tabs>
        <w:adjustRightInd w:val="0"/>
        <w:snapToGrid w:val="0"/>
        <w:spacing w:line="360" w:lineRule="auto"/>
        <w:ind w:left="825" w:hanging="825"/>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7</w:t>
      </w:r>
      <w:r>
        <w:rPr>
          <w:rFonts w:ascii="宋体" w:hAnsi="宋体" w:cs="宋体"/>
          <w:color w:val="auto"/>
          <w:sz w:val="24"/>
          <w:highlight w:val="none"/>
        </w:rPr>
        <w:t>.1.3.</w:t>
      </w:r>
      <w:r>
        <w:rPr>
          <w:rFonts w:hint="eastAsia" w:ascii="宋体" w:hAnsi="宋体" w:cs="宋体"/>
          <w:color w:val="auto"/>
          <w:sz w:val="24"/>
          <w:highlight w:val="none"/>
        </w:rPr>
        <w:t>实质上没有响应招标文件要求的投标将被拒绝或作投标无效处理。投标人不得通过修正或撤销不合要求的偏离或保留从而使其投标成为实质上响应的投标，将被拒绝的投标情况详见</w:t>
      </w:r>
      <w:r>
        <w:rPr>
          <w:rFonts w:hint="eastAsia" w:ascii="宋体" w:hAnsi="宋体" w:cs="宋体"/>
          <w:b/>
          <w:bCs/>
          <w:color w:val="auto"/>
          <w:sz w:val="24"/>
          <w:highlight w:val="none"/>
        </w:rPr>
        <w:t>《投标人须知前附表》</w:t>
      </w:r>
      <w:r>
        <w:rPr>
          <w:rFonts w:hint="eastAsia" w:ascii="宋体" w:hAnsi="宋体" w:cs="宋体"/>
          <w:color w:val="auto"/>
          <w:sz w:val="24"/>
          <w:highlight w:val="none"/>
        </w:rPr>
        <w:t>。</w:t>
      </w:r>
    </w:p>
    <w:p w14:paraId="7344EF02">
      <w:pPr>
        <w:tabs>
          <w:tab w:val="left" w:pos="840"/>
        </w:tabs>
        <w:adjustRightInd w:val="0"/>
        <w:snapToGrid w:val="0"/>
        <w:spacing w:line="360" w:lineRule="auto"/>
        <w:ind w:left="825" w:hanging="825"/>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7</w:t>
      </w:r>
      <w:r>
        <w:rPr>
          <w:rFonts w:ascii="宋体" w:hAnsi="宋体" w:cs="宋体"/>
          <w:color w:val="auto"/>
          <w:sz w:val="24"/>
          <w:highlight w:val="none"/>
        </w:rPr>
        <w:t>.1.4.</w:t>
      </w:r>
      <w:r>
        <w:rPr>
          <w:rFonts w:hint="eastAsia" w:ascii="宋体" w:hAnsi="宋体" w:cs="宋体"/>
          <w:color w:val="auto"/>
          <w:sz w:val="24"/>
          <w:highlight w:val="none"/>
        </w:rPr>
        <w:t>初审内容：初审分为资格性审查和符合性审查。</w:t>
      </w:r>
    </w:p>
    <w:p w14:paraId="45896C81">
      <w:pPr>
        <w:tabs>
          <w:tab w:val="left" w:pos="840"/>
        </w:tabs>
        <w:adjustRightInd w:val="0"/>
        <w:snapToGrid w:val="0"/>
        <w:spacing w:line="360" w:lineRule="auto"/>
        <w:ind w:left="840" w:leftChars="400"/>
        <w:rPr>
          <w:rFonts w:ascii="宋体" w:hAnsi="宋体" w:cs="宋体"/>
          <w:color w:val="auto"/>
          <w:sz w:val="24"/>
          <w:highlight w:val="none"/>
        </w:rPr>
      </w:pPr>
      <w:r>
        <w:rPr>
          <w:rFonts w:hint="eastAsia" w:ascii="宋体" w:hAnsi="宋体" w:cs="宋体"/>
          <w:color w:val="auto"/>
          <w:sz w:val="24"/>
          <w:highlight w:val="none"/>
        </w:rPr>
        <w:t>（1）资格性审查。依据法律法规和招标文件的规定，对投标文件中的资格证明等进行审查，以确定投标供应商是否具备投标资格。</w:t>
      </w:r>
    </w:p>
    <w:p w14:paraId="0D6AF590">
      <w:pPr>
        <w:tabs>
          <w:tab w:val="left" w:pos="840"/>
        </w:tabs>
        <w:adjustRightInd w:val="0"/>
        <w:snapToGrid w:val="0"/>
        <w:spacing w:line="360" w:lineRule="auto"/>
        <w:ind w:left="840" w:leftChars="400"/>
        <w:rPr>
          <w:rFonts w:ascii="宋体" w:hAnsi="宋体" w:cs="宋体"/>
          <w:color w:val="auto"/>
          <w:sz w:val="24"/>
          <w:highlight w:val="none"/>
        </w:rPr>
      </w:pPr>
      <w:r>
        <w:rPr>
          <w:rFonts w:hint="eastAsia" w:ascii="宋体" w:hAnsi="宋体" w:cs="宋体"/>
          <w:color w:val="auto"/>
          <w:sz w:val="24"/>
          <w:highlight w:val="none"/>
        </w:rPr>
        <w:t>（2）符合性审查。依据招标文件的规定，从投标文件的有效性、完整性和对招标文件的响应程度进行审查，以确定是否对招标文件的实质性要求作出响应。</w:t>
      </w:r>
    </w:p>
    <w:p w14:paraId="563CB64F">
      <w:pPr>
        <w:tabs>
          <w:tab w:val="left" w:pos="840"/>
        </w:tabs>
        <w:adjustRightInd w:val="0"/>
        <w:snapToGrid w:val="0"/>
        <w:spacing w:line="360" w:lineRule="auto"/>
        <w:ind w:left="840" w:leftChars="400"/>
        <w:rPr>
          <w:rFonts w:ascii="宋体" w:hAnsi="宋体" w:cs="宋体"/>
          <w:color w:val="auto"/>
          <w:sz w:val="24"/>
          <w:highlight w:val="none"/>
        </w:rPr>
      </w:pPr>
      <w:r>
        <w:rPr>
          <w:rFonts w:hint="eastAsia" w:ascii="宋体" w:hAnsi="宋体" w:cs="宋体"/>
          <w:color w:val="auto"/>
          <w:sz w:val="24"/>
          <w:highlight w:val="none"/>
        </w:rPr>
        <w:t>（3）实质上没有响应招标文件要求的投标将被作投标无效处理。投标人不得通过修正或撤销不合要求的偏离或保留从而使其投标成为实质上响应的投标。在投标文件初审中，发现下列情况之一的，其投标将作投标无效处理：具体初审内容详见</w:t>
      </w:r>
      <w:r>
        <w:rPr>
          <w:rFonts w:hint="eastAsia" w:ascii="宋体" w:hAnsi="宋体" w:cs="宋体"/>
          <w:b/>
          <w:bCs/>
          <w:color w:val="auto"/>
          <w:sz w:val="24"/>
          <w:highlight w:val="none"/>
        </w:rPr>
        <w:t>《投标人须知前附表》。</w:t>
      </w:r>
    </w:p>
    <w:p w14:paraId="2269F69E">
      <w:pPr>
        <w:tabs>
          <w:tab w:val="left" w:pos="840"/>
        </w:tabs>
        <w:adjustRightInd w:val="0"/>
        <w:snapToGrid w:val="0"/>
        <w:spacing w:line="360" w:lineRule="auto"/>
        <w:ind w:left="840" w:leftChars="400"/>
        <w:rPr>
          <w:rFonts w:ascii="宋体" w:hAnsi="宋体" w:cs="宋体"/>
          <w:color w:val="auto"/>
          <w:sz w:val="24"/>
          <w:highlight w:val="none"/>
        </w:rPr>
      </w:pPr>
      <w:r>
        <w:rPr>
          <w:rFonts w:hint="eastAsia" w:ascii="宋体" w:hAnsi="宋体" w:cs="宋体"/>
          <w:color w:val="auto"/>
          <w:sz w:val="24"/>
          <w:highlight w:val="none"/>
        </w:rPr>
        <w:t>（4）根据项目情况，</w:t>
      </w:r>
      <w:r>
        <w:rPr>
          <w:rFonts w:hint="eastAsia" w:ascii="宋体" w:hAnsi="宋体" w:cs="宋体"/>
          <w:color w:val="auto"/>
          <w:sz w:val="24"/>
          <w:highlight w:val="none"/>
          <w:lang w:val="en-US" w:eastAsia="zh-CN"/>
        </w:rPr>
        <w:t>校内招投标小组</w:t>
      </w:r>
      <w:r>
        <w:rPr>
          <w:rFonts w:hint="eastAsia" w:ascii="宋体" w:hAnsi="宋体" w:cs="宋体"/>
          <w:color w:val="auto"/>
          <w:sz w:val="24"/>
          <w:highlight w:val="none"/>
        </w:rPr>
        <w:t>有权决定招标文件中“可能导致投标无效”或“可能导致其投标被拒绝或作投标无效处理”等具体条款是否实施“投标无效”或“投标被拒绝或作投标无效处理”，但对同一条款的裁决应适用于每个投标人。</w:t>
      </w:r>
    </w:p>
    <w:p w14:paraId="3769E94A">
      <w:pPr>
        <w:tabs>
          <w:tab w:val="left" w:pos="840"/>
        </w:tabs>
        <w:adjustRightInd w:val="0"/>
        <w:snapToGrid w:val="0"/>
        <w:spacing w:line="360" w:lineRule="auto"/>
        <w:ind w:left="840" w:hanging="840" w:hangingChars="35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7</w:t>
      </w:r>
      <w:r>
        <w:rPr>
          <w:rFonts w:ascii="宋体" w:hAnsi="宋体" w:cs="宋体"/>
          <w:color w:val="auto"/>
          <w:sz w:val="24"/>
          <w:highlight w:val="none"/>
        </w:rPr>
        <w:t>.1.</w:t>
      </w:r>
      <w:r>
        <w:rPr>
          <w:rFonts w:hint="eastAsia" w:ascii="宋体" w:hAnsi="宋体" w:cs="宋体"/>
          <w:color w:val="auto"/>
          <w:sz w:val="24"/>
          <w:highlight w:val="none"/>
        </w:rPr>
        <w:t>5</w:t>
      </w:r>
      <w:r>
        <w:rPr>
          <w:rFonts w:ascii="宋体" w:hAnsi="宋体" w:cs="宋体"/>
          <w:color w:val="auto"/>
          <w:sz w:val="24"/>
          <w:highlight w:val="none"/>
        </w:rPr>
        <w:t>.</w:t>
      </w:r>
      <w:r>
        <w:rPr>
          <w:rFonts w:hint="eastAsia" w:ascii="宋体" w:hAnsi="宋体" w:cs="宋体"/>
          <w:color w:val="auto"/>
          <w:sz w:val="24"/>
          <w:highlight w:val="none"/>
          <w:lang w:val="en-US" w:eastAsia="zh-CN"/>
        </w:rPr>
        <w:t>校内招投标小组</w:t>
      </w:r>
      <w:r>
        <w:rPr>
          <w:rFonts w:hint="eastAsia" w:ascii="宋体" w:hAnsi="宋体" w:cs="宋体"/>
          <w:color w:val="auto"/>
          <w:sz w:val="24"/>
          <w:highlight w:val="none"/>
        </w:rPr>
        <w:t>将对确定为实质上响应的投标进行审核，核查其是否有计算上和累加上的算术错误，修正错误的原则如下：</w:t>
      </w:r>
    </w:p>
    <w:p w14:paraId="3BA3AB27">
      <w:pPr>
        <w:tabs>
          <w:tab w:val="left" w:pos="840"/>
        </w:tabs>
        <w:adjustRightInd w:val="0"/>
        <w:snapToGrid w:val="0"/>
        <w:spacing w:line="360" w:lineRule="auto"/>
        <w:ind w:left="840" w:leftChars="400"/>
        <w:rPr>
          <w:rFonts w:ascii="宋体" w:hAnsi="宋体" w:cs="宋体"/>
          <w:color w:val="auto"/>
          <w:sz w:val="24"/>
          <w:highlight w:val="none"/>
        </w:rPr>
      </w:pPr>
      <w:r>
        <w:rPr>
          <w:rFonts w:hint="eastAsia" w:ascii="宋体" w:hAnsi="宋体" w:cs="宋体"/>
          <w:color w:val="auto"/>
          <w:sz w:val="24"/>
          <w:highlight w:val="none"/>
        </w:rPr>
        <w:t>（1）开标时，投标文件中的开标一览表（投标一览表）内容与投标文件中相应内容不一致的，以开标一览表（投标一览表）为准；</w:t>
      </w:r>
    </w:p>
    <w:p w14:paraId="3117C4C8">
      <w:pPr>
        <w:tabs>
          <w:tab w:val="left" w:pos="840"/>
        </w:tabs>
        <w:adjustRightInd w:val="0"/>
        <w:snapToGrid w:val="0"/>
        <w:spacing w:line="360" w:lineRule="auto"/>
        <w:ind w:left="840" w:leftChars="400"/>
        <w:rPr>
          <w:rFonts w:ascii="宋体" w:hAnsi="宋体" w:cs="宋体"/>
          <w:color w:val="auto"/>
          <w:sz w:val="24"/>
          <w:highlight w:val="none"/>
        </w:rPr>
      </w:pPr>
      <w:r>
        <w:rPr>
          <w:rFonts w:hint="eastAsia" w:ascii="宋体" w:hAnsi="宋体" w:cs="宋体"/>
          <w:color w:val="auto"/>
          <w:sz w:val="24"/>
          <w:highlight w:val="none"/>
        </w:rPr>
        <w:t>（2）如果投标文件的大写金额和小写金额不一致，以大写的金额为准；</w:t>
      </w:r>
    </w:p>
    <w:p w14:paraId="3D324F99">
      <w:pPr>
        <w:tabs>
          <w:tab w:val="left" w:pos="840"/>
        </w:tabs>
        <w:adjustRightInd w:val="0"/>
        <w:snapToGrid w:val="0"/>
        <w:spacing w:line="360" w:lineRule="auto"/>
        <w:ind w:left="840" w:leftChars="400"/>
        <w:rPr>
          <w:rFonts w:ascii="宋体" w:hAnsi="宋体" w:cs="宋体"/>
          <w:color w:val="auto"/>
          <w:sz w:val="24"/>
          <w:highlight w:val="none"/>
        </w:rPr>
      </w:pPr>
      <w:r>
        <w:rPr>
          <w:rFonts w:hint="eastAsia" w:ascii="宋体" w:hAnsi="宋体" w:cs="宋体"/>
          <w:color w:val="auto"/>
          <w:sz w:val="24"/>
          <w:highlight w:val="none"/>
        </w:rPr>
        <w:t>（3）当单价金额小数点有明显错位的，应以总价为准，并修正单价；</w:t>
      </w:r>
    </w:p>
    <w:p w14:paraId="5BC20E98">
      <w:pPr>
        <w:tabs>
          <w:tab w:val="left" w:pos="840"/>
        </w:tabs>
        <w:adjustRightInd w:val="0"/>
        <w:snapToGrid w:val="0"/>
        <w:spacing w:line="360" w:lineRule="auto"/>
        <w:ind w:left="840" w:leftChars="400"/>
        <w:rPr>
          <w:rFonts w:ascii="宋体" w:hAnsi="宋体" w:cs="宋体"/>
          <w:color w:val="auto"/>
          <w:sz w:val="24"/>
          <w:highlight w:val="none"/>
        </w:rPr>
      </w:pPr>
      <w:r>
        <w:rPr>
          <w:rFonts w:hint="eastAsia" w:ascii="宋体" w:hAnsi="宋体" w:cs="宋体"/>
          <w:color w:val="auto"/>
          <w:sz w:val="24"/>
          <w:highlight w:val="none"/>
        </w:rPr>
        <w:t>（4）总价金额与单价汇总金额不一致的，以单价金额计算结果为准；</w:t>
      </w:r>
    </w:p>
    <w:p w14:paraId="57E717B0">
      <w:pPr>
        <w:tabs>
          <w:tab w:val="left" w:pos="840"/>
        </w:tabs>
        <w:adjustRightInd w:val="0"/>
        <w:snapToGrid w:val="0"/>
        <w:spacing w:line="360" w:lineRule="auto"/>
        <w:ind w:left="840" w:leftChars="400"/>
        <w:rPr>
          <w:rFonts w:ascii="宋体" w:hAnsi="宋体" w:cs="宋体"/>
          <w:color w:val="auto"/>
          <w:sz w:val="24"/>
          <w:highlight w:val="none"/>
        </w:rPr>
      </w:pPr>
      <w:r>
        <w:rPr>
          <w:rFonts w:hint="eastAsia" w:ascii="宋体" w:hAnsi="宋体" w:cs="宋体"/>
          <w:color w:val="auto"/>
          <w:sz w:val="24"/>
          <w:highlight w:val="none"/>
        </w:rPr>
        <w:t>（5）同时出现两种以上不一致的，按前款规定的顺序修正。</w:t>
      </w:r>
    </w:p>
    <w:p w14:paraId="53CCA7C2">
      <w:pPr>
        <w:tabs>
          <w:tab w:val="left" w:pos="840"/>
        </w:tabs>
        <w:adjustRightInd w:val="0"/>
        <w:snapToGrid w:val="0"/>
        <w:spacing w:line="360" w:lineRule="auto"/>
        <w:ind w:left="825" w:hanging="825"/>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7</w:t>
      </w:r>
      <w:r>
        <w:rPr>
          <w:rFonts w:ascii="宋体" w:hAnsi="宋体" w:cs="宋体"/>
          <w:color w:val="auto"/>
          <w:sz w:val="24"/>
          <w:highlight w:val="none"/>
        </w:rPr>
        <w:t>.1.</w:t>
      </w:r>
      <w:r>
        <w:rPr>
          <w:rFonts w:hint="eastAsia" w:ascii="宋体" w:hAnsi="宋体" w:cs="宋体"/>
          <w:color w:val="auto"/>
          <w:sz w:val="24"/>
          <w:highlight w:val="none"/>
        </w:rPr>
        <w:t>6</w:t>
      </w:r>
      <w:r>
        <w:rPr>
          <w:rFonts w:ascii="宋体" w:hAnsi="宋体" w:cs="宋体"/>
          <w:color w:val="auto"/>
          <w:sz w:val="24"/>
          <w:highlight w:val="none"/>
        </w:rPr>
        <w:t>.</w:t>
      </w:r>
      <w:r>
        <w:rPr>
          <w:rFonts w:hint="eastAsia" w:ascii="宋体" w:hAnsi="宋体" w:cs="宋体"/>
          <w:color w:val="auto"/>
          <w:sz w:val="24"/>
          <w:highlight w:val="none"/>
          <w:lang w:val="en-US" w:eastAsia="zh-CN"/>
        </w:rPr>
        <w:t>校内招投标小组</w:t>
      </w:r>
      <w:r>
        <w:rPr>
          <w:rFonts w:hint="eastAsia" w:ascii="宋体" w:hAnsi="宋体" w:cs="宋体"/>
          <w:color w:val="auto"/>
          <w:sz w:val="24"/>
          <w:highlight w:val="none"/>
        </w:rPr>
        <w:t>将按上述修正错误的方法调整投标文件中的投标报价，调整后的价格应对投标人具有约束力。如果投标人不接受修正后的价格，则其投标将被拒绝或作投标无效处理。</w:t>
      </w:r>
    </w:p>
    <w:p w14:paraId="7A4544AE">
      <w:pPr>
        <w:tabs>
          <w:tab w:val="left" w:pos="840"/>
        </w:tabs>
        <w:adjustRightInd w:val="0"/>
        <w:snapToGrid w:val="0"/>
        <w:spacing w:line="360" w:lineRule="auto"/>
        <w:ind w:left="825" w:hanging="825"/>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7</w:t>
      </w:r>
      <w:r>
        <w:rPr>
          <w:rFonts w:ascii="宋体" w:hAnsi="宋体" w:cs="宋体"/>
          <w:color w:val="auto"/>
          <w:sz w:val="24"/>
          <w:highlight w:val="none"/>
        </w:rPr>
        <w:t>.1.</w:t>
      </w:r>
      <w:r>
        <w:rPr>
          <w:rFonts w:hint="eastAsia" w:ascii="宋体" w:hAnsi="宋体" w:cs="宋体"/>
          <w:color w:val="auto"/>
          <w:sz w:val="24"/>
          <w:highlight w:val="none"/>
        </w:rPr>
        <w:t>7</w:t>
      </w:r>
      <w:r>
        <w:rPr>
          <w:rFonts w:ascii="宋体" w:hAnsi="宋体" w:cs="宋体"/>
          <w:color w:val="auto"/>
          <w:sz w:val="24"/>
          <w:highlight w:val="none"/>
        </w:rPr>
        <w:t>.</w:t>
      </w:r>
      <w:r>
        <w:rPr>
          <w:rFonts w:hint="eastAsia" w:ascii="宋体" w:hAnsi="宋体" w:cs="宋体"/>
          <w:color w:val="auto"/>
          <w:sz w:val="24"/>
          <w:highlight w:val="none"/>
          <w:lang w:val="en-US" w:eastAsia="zh-CN"/>
        </w:rPr>
        <w:t>校内招投标小组</w:t>
      </w:r>
      <w:r>
        <w:rPr>
          <w:rFonts w:hint="eastAsia" w:ascii="宋体" w:hAnsi="宋体" w:cs="宋体"/>
          <w:color w:val="auto"/>
          <w:sz w:val="24"/>
          <w:highlight w:val="none"/>
        </w:rPr>
        <w:t>将允许修正投标文件中不构成重大偏离的，微小的，非正规的，不一致的或不规则的地方，但这些修正不能影响任何投标人相应的名次排列。</w:t>
      </w:r>
    </w:p>
    <w:p w14:paraId="54F47511">
      <w:pPr>
        <w:tabs>
          <w:tab w:val="left" w:pos="840"/>
        </w:tabs>
        <w:adjustRightInd w:val="0"/>
        <w:snapToGrid w:val="0"/>
        <w:spacing w:line="312" w:lineRule="auto"/>
        <w:ind w:left="840" w:hanging="840" w:hangingChars="35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7</w:t>
      </w:r>
      <w:r>
        <w:rPr>
          <w:rFonts w:ascii="宋体" w:hAnsi="宋体" w:cs="宋体"/>
          <w:color w:val="auto"/>
          <w:sz w:val="24"/>
          <w:highlight w:val="none"/>
        </w:rPr>
        <w:t>.1.</w:t>
      </w:r>
      <w:r>
        <w:rPr>
          <w:rFonts w:hint="eastAsia" w:ascii="宋体" w:hAnsi="宋体" w:cs="宋体"/>
          <w:color w:val="auto"/>
          <w:sz w:val="24"/>
          <w:highlight w:val="none"/>
        </w:rPr>
        <w:t>8</w:t>
      </w:r>
      <w:r>
        <w:rPr>
          <w:rFonts w:ascii="宋体" w:hAnsi="宋体" w:cs="宋体"/>
          <w:color w:val="auto"/>
          <w:sz w:val="24"/>
          <w:highlight w:val="none"/>
        </w:rPr>
        <w:t>.</w:t>
      </w:r>
      <w:r>
        <w:rPr>
          <w:rFonts w:hint="eastAsia" w:ascii="宋体" w:hAnsi="宋体" w:cs="宋体"/>
          <w:color w:val="auto"/>
          <w:sz w:val="24"/>
          <w:highlight w:val="none"/>
        </w:rPr>
        <w:t>参照有关法律法规和依据招标文件的有关规定，公开招标方式如出现下列情况之一的，应予以投标无效：</w:t>
      </w:r>
    </w:p>
    <w:p w14:paraId="6516A65B">
      <w:pPr>
        <w:tabs>
          <w:tab w:val="left" w:pos="840"/>
        </w:tabs>
        <w:adjustRightInd w:val="0"/>
        <w:snapToGrid w:val="0"/>
        <w:spacing w:line="312" w:lineRule="auto"/>
        <w:ind w:left="840" w:leftChars="400"/>
        <w:rPr>
          <w:rFonts w:ascii="宋体" w:hAnsi="宋体" w:cs="宋体"/>
          <w:color w:val="auto"/>
          <w:sz w:val="24"/>
          <w:highlight w:val="none"/>
        </w:rPr>
      </w:pPr>
      <w:r>
        <w:rPr>
          <w:rFonts w:hint="eastAsia" w:ascii="宋体" w:hAnsi="宋体" w:cs="宋体"/>
          <w:color w:val="auto"/>
          <w:sz w:val="24"/>
          <w:highlight w:val="none"/>
        </w:rPr>
        <w:t>（1）符合招标文件规定的资格条件的投标人或者对招标文件作实质响应的投标人不足三家的；</w:t>
      </w:r>
    </w:p>
    <w:p w14:paraId="79CF2E95">
      <w:pPr>
        <w:tabs>
          <w:tab w:val="left" w:pos="840"/>
        </w:tabs>
        <w:adjustRightInd w:val="0"/>
        <w:snapToGrid w:val="0"/>
        <w:spacing w:line="312" w:lineRule="auto"/>
        <w:ind w:left="840" w:leftChars="400"/>
        <w:rPr>
          <w:rFonts w:ascii="宋体" w:hAnsi="宋体" w:cs="宋体"/>
          <w:color w:val="auto"/>
          <w:sz w:val="24"/>
          <w:highlight w:val="none"/>
        </w:rPr>
      </w:pPr>
      <w:r>
        <w:rPr>
          <w:rFonts w:hint="eastAsia" w:ascii="宋体" w:hAnsi="宋体" w:cs="宋体"/>
          <w:color w:val="auto"/>
          <w:sz w:val="24"/>
          <w:highlight w:val="none"/>
        </w:rPr>
        <w:t>（2）出现影响采购公正的违法、违规行为的；</w:t>
      </w:r>
    </w:p>
    <w:p w14:paraId="6D082448">
      <w:pPr>
        <w:tabs>
          <w:tab w:val="left" w:pos="840"/>
        </w:tabs>
        <w:adjustRightInd w:val="0"/>
        <w:snapToGrid w:val="0"/>
        <w:spacing w:line="312" w:lineRule="auto"/>
        <w:ind w:left="840" w:leftChars="400"/>
        <w:rPr>
          <w:rFonts w:ascii="宋体" w:hAnsi="宋体" w:cs="宋体"/>
          <w:color w:val="auto"/>
          <w:sz w:val="24"/>
          <w:highlight w:val="none"/>
        </w:rPr>
      </w:pPr>
      <w:r>
        <w:rPr>
          <w:rFonts w:hint="eastAsia" w:ascii="宋体" w:hAnsi="宋体" w:cs="宋体"/>
          <w:color w:val="auto"/>
          <w:sz w:val="24"/>
          <w:highlight w:val="none"/>
        </w:rPr>
        <w:t>（3）投标人的报价均超过采购人项目采购预算，采购人不能支付的；</w:t>
      </w:r>
    </w:p>
    <w:p w14:paraId="72F081A4">
      <w:pPr>
        <w:tabs>
          <w:tab w:val="left" w:pos="840"/>
        </w:tabs>
        <w:adjustRightInd w:val="0"/>
        <w:snapToGrid w:val="0"/>
        <w:spacing w:line="312" w:lineRule="auto"/>
        <w:ind w:left="840" w:leftChars="400"/>
        <w:rPr>
          <w:rFonts w:ascii="宋体" w:hAnsi="宋体" w:cs="宋体"/>
          <w:color w:val="auto"/>
          <w:sz w:val="24"/>
          <w:highlight w:val="none"/>
        </w:rPr>
      </w:pPr>
      <w:r>
        <w:rPr>
          <w:rFonts w:hint="eastAsia" w:ascii="宋体" w:hAnsi="宋体" w:cs="宋体"/>
          <w:color w:val="auto"/>
          <w:sz w:val="24"/>
          <w:highlight w:val="none"/>
        </w:rPr>
        <w:t>（4）因重大变故，采购任务取消的。</w:t>
      </w:r>
    </w:p>
    <w:p w14:paraId="0E7C42DC">
      <w:pPr>
        <w:tabs>
          <w:tab w:val="left" w:pos="840"/>
        </w:tabs>
        <w:adjustRightInd w:val="0"/>
        <w:snapToGrid w:val="0"/>
        <w:spacing w:line="360" w:lineRule="auto"/>
        <w:ind w:left="825" w:hanging="825"/>
        <w:rPr>
          <w:rFonts w:ascii="宋体" w:hAnsi="宋体" w:cs="宋体"/>
          <w:b/>
          <w:bCs/>
          <w:color w:val="auto"/>
          <w:sz w:val="24"/>
          <w:highlight w:val="none"/>
        </w:rPr>
      </w:pPr>
      <w:r>
        <w:rPr>
          <w:rFonts w:ascii="宋体" w:hAnsi="宋体" w:cs="宋体"/>
          <w:b/>
          <w:bCs/>
          <w:color w:val="auto"/>
          <w:sz w:val="24"/>
          <w:highlight w:val="none"/>
        </w:rPr>
        <w:t>2</w:t>
      </w:r>
      <w:r>
        <w:rPr>
          <w:rFonts w:hint="eastAsia" w:ascii="宋体" w:hAnsi="宋体" w:cs="宋体"/>
          <w:b/>
          <w:bCs/>
          <w:color w:val="auto"/>
          <w:sz w:val="24"/>
          <w:highlight w:val="none"/>
        </w:rPr>
        <w:t>7</w:t>
      </w:r>
      <w:r>
        <w:rPr>
          <w:rFonts w:ascii="宋体" w:hAnsi="宋体" w:cs="宋体"/>
          <w:b/>
          <w:bCs/>
          <w:color w:val="auto"/>
          <w:sz w:val="24"/>
          <w:highlight w:val="none"/>
        </w:rPr>
        <w:t>.2.</w:t>
      </w:r>
      <w:r>
        <w:rPr>
          <w:rFonts w:hint="eastAsia" w:ascii="宋体" w:hAnsi="宋体" w:cs="宋体"/>
          <w:b/>
          <w:bCs/>
          <w:color w:val="auto"/>
          <w:sz w:val="24"/>
          <w:highlight w:val="none"/>
        </w:rPr>
        <w:t xml:space="preserve">  澄清有关问题</w:t>
      </w:r>
    </w:p>
    <w:p w14:paraId="21CD611C">
      <w:pPr>
        <w:tabs>
          <w:tab w:val="left" w:pos="840"/>
        </w:tabs>
        <w:adjustRightInd w:val="0"/>
        <w:snapToGrid w:val="0"/>
        <w:spacing w:line="360" w:lineRule="auto"/>
        <w:ind w:left="840" w:leftChars="400"/>
        <w:rPr>
          <w:rFonts w:ascii="宋体" w:hAnsi="宋体" w:cs="宋体"/>
          <w:b/>
          <w:bCs/>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w:t>
      </w:r>
      <w:r>
        <w:rPr>
          <w:rFonts w:hint="eastAsia" w:ascii="宋体" w:hAnsi="宋体" w:cs="宋体"/>
          <w:color w:val="auto"/>
          <w:sz w:val="24"/>
          <w:highlight w:val="none"/>
          <w:lang w:val="en-US" w:eastAsia="zh-CN"/>
        </w:rPr>
        <w:t>校内招投标小组</w:t>
      </w:r>
      <w:r>
        <w:rPr>
          <w:rFonts w:hint="eastAsia" w:ascii="宋体" w:hAnsi="宋体" w:cs="宋体"/>
          <w:color w:val="auto"/>
          <w:sz w:val="24"/>
          <w:highlight w:val="none"/>
        </w:rPr>
        <w:t>可以书面形式(应当由</w:t>
      </w:r>
      <w:r>
        <w:rPr>
          <w:rFonts w:hint="eastAsia" w:ascii="宋体" w:hAnsi="宋体" w:cs="宋体"/>
          <w:color w:val="auto"/>
          <w:sz w:val="24"/>
          <w:highlight w:val="none"/>
          <w:lang w:val="en-US" w:eastAsia="zh-CN"/>
        </w:rPr>
        <w:t>校内招投标小组</w:t>
      </w:r>
      <w:r>
        <w:rPr>
          <w:rFonts w:hint="eastAsia" w:ascii="宋体" w:hAnsi="宋体" w:cs="宋体"/>
          <w:color w:val="auto"/>
          <w:sz w:val="24"/>
          <w:highlight w:val="none"/>
        </w:rPr>
        <w:t>专家签字)要求投标人作出必要的澄清、说明或者纠正。投标人的澄清、说明或者补正应当采用书面形式，由其授权的代表签字，并不得超出投标文件的范围或者改变投标文件的实质性内容。</w:t>
      </w:r>
    </w:p>
    <w:p w14:paraId="599F9F85">
      <w:pPr>
        <w:tabs>
          <w:tab w:val="left" w:pos="840"/>
        </w:tabs>
        <w:adjustRightInd w:val="0"/>
        <w:snapToGrid w:val="0"/>
        <w:spacing w:line="360" w:lineRule="auto"/>
        <w:ind w:left="825" w:hanging="825"/>
        <w:rPr>
          <w:rFonts w:ascii="宋体" w:hAnsi="宋体" w:cs="宋体"/>
          <w:b/>
          <w:bCs/>
          <w:color w:val="auto"/>
          <w:sz w:val="24"/>
          <w:highlight w:val="none"/>
        </w:rPr>
      </w:pPr>
      <w:r>
        <w:rPr>
          <w:rFonts w:ascii="宋体" w:hAnsi="宋体" w:cs="宋体"/>
          <w:b/>
          <w:bCs/>
          <w:color w:val="auto"/>
          <w:sz w:val="24"/>
          <w:highlight w:val="none"/>
        </w:rPr>
        <w:t>2</w:t>
      </w:r>
      <w:r>
        <w:rPr>
          <w:rFonts w:hint="eastAsia" w:ascii="宋体" w:hAnsi="宋体" w:cs="宋体"/>
          <w:b/>
          <w:bCs/>
          <w:color w:val="auto"/>
          <w:sz w:val="24"/>
          <w:highlight w:val="none"/>
        </w:rPr>
        <w:t>7</w:t>
      </w:r>
      <w:r>
        <w:rPr>
          <w:rFonts w:ascii="宋体" w:hAnsi="宋体" w:cs="宋体"/>
          <w:b/>
          <w:bCs/>
          <w:color w:val="auto"/>
          <w:sz w:val="24"/>
          <w:highlight w:val="none"/>
        </w:rPr>
        <w:t>.</w:t>
      </w:r>
      <w:r>
        <w:rPr>
          <w:rFonts w:hint="eastAsia" w:ascii="宋体" w:hAnsi="宋体" w:cs="宋体"/>
          <w:b/>
          <w:bCs/>
          <w:color w:val="auto"/>
          <w:sz w:val="24"/>
          <w:highlight w:val="none"/>
        </w:rPr>
        <w:t>3</w:t>
      </w:r>
      <w:r>
        <w:rPr>
          <w:rFonts w:ascii="宋体" w:hAnsi="宋体" w:cs="宋体"/>
          <w:b/>
          <w:bCs/>
          <w:color w:val="auto"/>
          <w:sz w:val="24"/>
          <w:highlight w:val="none"/>
        </w:rPr>
        <w:t>.</w:t>
      </w:r>
      <w:r>
        <w:rPr>
          <w:rFonts w:hint="eastAsia" w:ascii="宋体" w:hAnsi="宋体" w:cs="宋体"/>
          <w:b/>
          <w:bCs/>
          <w:color w:val="auto"/>
          <w:sz w:val="24"/>
          <w:highlight w:val="none"/>
        </w:rPr>
        <w:t xml:space="preserve">  比较与评价</w:t>
      </w:r>
    </w:p>
    <w:p w14:paraId="277AB248">
      <w:pPr>
        <w:tabs>
          <w:tab w:val="left" w:pos="840"/>
        </w:tabs>
        <w:adjustRightInd w:val="0"/>
        <w:snapToGrid w:val="0"/>
        <w:spacing w:line="360" w:lineRule="auto"/>
        <w:ind w:left="840" w:leftChars="400"/>
        <w:rPr>
          <w:rFonts w:ascii="宋体" w:hAnsi="宋体" w:cs="宋体"/>
          <w:b/>
          <w:bCs/>
          <w:color w:val="auto"/>
          <w:sz w:val="24"/>
          <w:highlight w:val="none"/>
        </w:rPr>
      </w:pPr>
      <w:r>
        <w:rPr>
          <w:rFonts w:hint="eastAsia" w:ascii="宋体" w:hAnsi="宋体" w:cs="宋体"/>
          <w:color w:val="auto"/>
          <w:sz w:val="24"/>
          <w:highlight w:val="none"/>
        </w:rPr>
        <w:t>按招标文件中规定的评审方法和标准，对资格性审查和符合性审查合格的投标文件进行商务和技术评估，综合比较与评价。</w:t>
      </w:r>
    </w:p>
    <w:p w14:paraId="120FB2C9">
      <w:pPr>
        <w:tabs>
          <w:tab w:val="left" w:pos="840"/>
        </w:tabs>
        <w:adjustRightInd w:val="0"/>
        <w:snapToGrid w:val="0"/>
        <w:spacing w:line="360" w:lineRule="auto"/>
        <w:ind w:left="825" w:hanging="825"/>
        <w:rPr>
          <w:rFonts w:ascii="宋体" w:hAnsi="宋体" w:cs="宋体"/>
          <w:b/>
          <w:bCs/>
          <w:color w:val="auto"/>
          <w:sz w:val="24"/>
          <w:highlight w:val="none"/>
        </w:rPr>
      </w:pPr>
      <w:r>
        <w:rPr>
          <w:rFonts w:ascii="宋体" w:hAnsi="宋体" w:cs="宋体"/>
          <w:b/>
          <w:bCs/>
          <w:color w:val="auto"/>
          <w:sz w:val="24"/>
          <w:highlight w:val="none"/>
        </w:rPr>
        <w:t>2</w:t>
      </w:r>
      <w:r>
        <w:rPr>
          <w:rFonts w:hint="eastAsia" w:ascii="宋体" w:hAnsi="宋体" w:cs="宋体"/>
          <w:b/>
          <w:bCs/>
          <w:color w:val="auto"/>
          <w:sz w:val="24"/>
          <w:highlight w:val="none"/>
        </w:rPr>
        <w:t>7</w:t>
      </w:r>
      <w:r>
        <w:rPr>
          <w:rFonts w:ascii="宋体" w:hAnsi="宋体" w:cs="宋体"/>
          <w:b/>
          <w:bCs/>
          <w:color w:val="auto"/>
          <w:sz w:val="24"/>
          <w:highlight w:val="none"/>
        </w:rPr>
        <w:t>.</w:t>
      </w:r>
      <w:r>
        <w:rPr>
          <w:rFonts w:hint="eastAsia" w:ascii="宋体" w:hAnsi="宋体" w:cs="宋体"/>
          <w:b/>
          <w:bCs/>
          <w:color w:val="auto"/>
          <w:sz w:val="24"/>
          <w:highlight w:val="none"/>
        </w:rPr>
        <w:t>5</w:t>
      </w:r>
      <w:r>
        <w:rPr>
          <w:rFonts w:ascii="宋体" w:hAnsi="宋体" w:cs="宋体"/>
          <w:b/>
          <w:bCs/>
          <w:color w:val="auto"/>
          <w:sz w:val="24"/>
          <w:highlight w:val="none"/>
        </w:rPr>
        <w:t>.</w:t>
      </w:r>
      <w:r>
        <w:rPr>
          <w:rFonts w:hint="eastAsia" w:ascii="宋体" w:hAnsi="宋体" w:cs="宋体"/>
          <w:b/>
          <w:bCs/>
          <w:color w:val="auto"/>
          <w:sz w:val="24"/>
          <w:highlight w:val="none"/>
        </w:rPr>
        <w:t xml:space="preserve">  编写评审报告</w:t>
      </w:r>
    </w:p>
    <w:p w14:paraId="366A07A4">
      <w:pPr>
        <w:tabs>
          <w:tab w:val="left" w:pos="840"/>
        </w:tabs>
        <w:adjustRightInd w:val="0"/>
        <w:snapToGrid w:val="0"/>
        <w:spacing w:line="360" w:lineRule="auto"/>
        <w:ind w:left="840" w:leftChars="400"/>
        <w:rPr>
          <w:rFonts w:ascii="宋体" w:hAnsi="宋体" w:cs="宋体"/>
          <w:b/>
          <w:bCs/>
          <w:color w:val="auto"/>
          <w:sz w:val="24"/>
          <w:highlight w:val="none"/>
        </w:rPr>
      </w:pPr>
      <w:r>
        <w:rPr>
          <w:rFonts w:hint="eastAsia" w:ascii="宋体" w:hAnsi="宋体" w:cs="宋体"/>
          <w:color w:val="auto"/>
          <w:sz w:val="24"/>
          <w:highlight w:val="none"/>
        </w:rPr>
        <w:t>评审报告是</w:t>
      </w:r>
      <w:r>
        <w:rPr>
          <w:rFonts w:hint="eastAsia" w:ascii="宋体" w:hAnsi="宋体" w:cs="宋体"/>
          <w:color w:val="auto"/>
          <w:sz w:val="24"/>
          <w:highlight w:val="none"/>
          <w:lang w:val="en-US" w:eastAsia="zh-CN"/>
        </w:rPr>
        <w:t>校内招投标小组</w:t>
      </w:r>
      <w:r>
        <w:rPr>
          <w:rFonts w:hint="eastAsia" w:ascii="宋体" w:hAnsi="宋体" w:cs="宋体"/>
          <w:color w:val="auto"/>
          <w:sz w:val="24"/>
          <w:highlight w:val="none"/>
        </w:rPr>
        <w:t>根据全体评审成员签字的原始评审记录和评审结果编写的报告，其主要内容包括：</w:t>
      </w:r>
    </w:p>
    <w:p w14:paraId="4EAFD396">
      <w:pPr>
        <w:tabs>
          <w:tab w:val="left" w:pos="840"/>
        </w:tabs>
        <w:adjustRightInd w:val="0"/>
        <w:snapToGrid w:val="0"/>
        <w:spacing w:line="360" w:lineRule="auto"/>
        <w:ind w:firstLine="840" w:firstLineChars="350"/>
        <w:rPr>
          <w:rFonts w:ascii="宋体" w:hAnsi="宋体" w:cs="宋体"/>
          <w:b/>
          <w:bCs/>
          <w:color w:val="auto"/>
          <w:sz w:val="24"/>
          <w:highlight w:val="none"/>
        </w:rPr>
      </w:pPr>
      <w:r>
        <w:rPr>
          <w:rFonts w:hint="eastAsia" w:ascii="宋体" w:hAnsi="宋体" w:cs="宋体"/>
          <w:color w:val="auto"/>
          <w:sz w:val="24"/>
          <w:highlight w:val="none"/>
        </w:rPr>
        <w:t>1）招标公告刊登的媒体名称、开标日期和地点；</w:t>
      </w:r>
    </w:p>
    <w:p w14:paraId="14CE968A">
      <w:pPr>
        <w:tabs>
          <w:tab w:val="left" w:pos="840"/>
        </w:tabs>
        <w:adjustRightInd w:val="0"/>
        <w:snapToGrid w:val="0"/>
        <w:spacing w:line="360" w:lineRule="auto"/>
        <w:ind w:firstLine="840" w:firstLineChars="350"/>
        <w:rPr>
          <w:rFonts w:ascii="宋体" w:hAnsi="宋体" w:cs="宋体"/>
          <w:b/>
          <w:bCs/>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投递</w:t>
      </w:r>
      <w:r>
        <w:rPr>
          <w:rFonts w:hint="eastAsia" w:ascii="宋体" w:hAnsi="宋体" w:cs="宋体"/>
          <w:color w:val="auto"/>
          <w:sz w:val="24"/>
          <w:highlight w:val="none"/>
        </w:rPr>
        <w:t>招标文件的投标人名单和</w:t>
      </w:r>
      <w:r>
        <w:rPr>
          <w:rFonts w:hint="eastAsia" w:ascii="宋体" w:hAnsi="宋体" w:cs="宋体"/>
          <w:color w:val="auto"/>
          <w:sz w:val="24"/>
          <w:highlight w:val="none"/>
          <w:lang w:val="en-US" w:eastAsia="zh-CN"/>
        </w:rPr>
        <w:t>校内招投标小组</w:t>
      </w:r>
      <w:r>
        <w:rPr>
          <w:rFonts w:hint="eastAsia" w:ascii="宋体" w:hAnsi="宋体" w:cs="宋体"/>
          <w:color w:val="auto"/>
          <w:sz w:val="24"/>
          <w:highlight w:val="none"/>
        </w:rPr>
        <w:t>成员名单；</w:t>
      </w:r>
    </w:p>
    <w:p w14:paraId="2313252A">
      <w:pPr>
        <w:tabs>
          <w:tab w:val="left" w:pos="840"/>
        </w:tabs>
        <w:adjustRightInd w:val="0"/>
        <w:snapToGrid w:val="0"/>
        <w:spacing w:line="360" w:lineRule="auto"/>
        <w:ind w:firstLine="840" w:firstLineChars="350"/>
        <w:rPr>
          <w:rFonts w:ascii="宋体" w:hAnsi="宋体" w:cs="宋体"/>
          <w:b/>
          <w:bCs/>
          <w:color w:val="auto"/>
          <w:sz w:val="24"/>
          <w:highlight w:val="none"/>
        </w:rPr>
      </w:pPr>
      <w:r>
        <w:rPr>
          <w:rFonts w:hint="eastAsia" w:ascii="宋体" w:hAnsi="宋体" w:cs="宋体"/>
          <w:color w:val="auto"/>
          <w:sz w:val="24"/>
          <w:highlight w:val="none"/>
        </w:rPr>
        <w:t>3）评审方法和标准；</w:t>
      </w:r>
    </w:p>
    <w:p w14:paraId="700D21AD">
      <w:pPr>
        <w:tabs>
          <w:tab w:val="left" w:pos="840"/>
        </w:tabs>
        <w:adjustRightInd w:val="0"/>
        <w:snapToGrid w:val="0"/>
        <w:spacing w:line="360" w:lineRule="auto"/>
        <w:ind w:firstLine="840" w:firstLineChars="350"/>
        <w:rPr>
          <w:rFonts w:ascii="宋体" w:hAnsi="宋体" w:cs="宋体"/>
          <w:b/>
          <w:bCs/>
          <w:color w:val="auto"/>
          <w:sz w:val="24"/>
          <w:highlight w:val="none"/>
        </w:rPr>
      </w:pPr>
      <w:r>
        <w:rPr>
          <w:rFonts w:hint="eastAsia" w:ascii="宋体" w:hAnsi="宋体" w:cs="宋体"/>
          <w:color w:val="auto"/>
          <w:sz w:val="24"/>
          <w:highlight w:val="none"/>
        </w:rPr>
        <w:t>4）开标记录和评审情况及说明，包括投标无效投标人名单及原因；</w:t>
      </w:r>
    </w:p>
    <w:p w14:paraId="551FD940">
      <w:pPr>
        <w:tabs>
          <w:tab w:val="left" w:pos="840"/>
        </w:tabs>
        <w:adjustRightInd w:val="0"/>
        <w:snapToGrid w:val="0"/>
        <w:spacing w:line="360" w:lineRule="auto"/>
        <w:ind w:firstLine="840" w:firstLineChars="350"/>
        <w:rPr>
          <w:rFonts w:ascii="宋体" w:hAnsi="宋体" w:cs="宋体"/>
          <w:b/>
          <w:bCs/>
          <w:color w:val="auto"/>
          <w:sz w:val="24"/>
          <w:highlight w:val="none"/>
        </w:rPr>
      </w:pPr>
      <w:r>
        <w:rPr>
          <w:rFonts w:hint="eastAsia" w:ascii="宋体" w:hAnsi="宋体" w:cs="宋体"/>
          <w:color w:val="auto"/>
          <w:sz w:val="24"/>
          <w:highlight w:val="none"/>
        </w:rPr>
        <w:t>5）评审结果和候选中标供应商（中标候选人）排序表；</w:t>
      </w:r>
    </w:p>
    <w:p w14:paraId="724D268B">
      <w:pPr>
        <w:tabs>
          <w:tab w:val="left" w:pos="840"/>
        </w:tabs>
        <w:adjustRightInd w:val="0"/>
        <w:snapToGrid w:val="0"/>
        <w:spacing w:line="360" w:lineRule="auto"/>
        <w:ind w:firstLine="840" w:firstLineChars="350"/>
        <w:rPr>
          <w:rFonts w:ascii="宋体" w:hAnsi="宋体" w:cs="宋体"/>
          <w:b/>
          <w:bCs/>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en-US" w:eastAsia="zh-CN"/>
        </w:rPr>
        <w:t>校内招投标小组</w:t>
      </w:r>
      <w:r>
        <w:rPr>
          <w:rFonts w:hint="eastAsia" w:ascii="宋体" w:hAnsi="宋体" w:cs="宋体"/>
          <w:color w:val="auto"/>
          <w:sz w:val="24"/>
          <w:highlight w:val="none"/>
        </w:rPr>
        <w:t>的授标建议</w:t>
      </w:r>
      <w:r>
        <w:rPr>
          <w:rFonts w:hint="eastAsia" w:ascii="宋体" w:hAnsi="宋体" w:cs="宋体"/>
          <w:b/>
          <w:bCs/>
          <w:color w:val="auto"/>
          <w:sz w:val="24"/>
          <w:highlight w:val="none"/>
        </w:rPr>
        <w:t>。</w:t>
      </w:r>
    </w:p>
    <w:p w14:paraId="74C8A99D">
      <w:pPr>
        <w:adjustRightInd w:val="0"/>
        <w:spacing w:line="360" w:lineRule="atLeast"/>
        <w:ind w:firstLine="422"/>
        <w:jc w:val="left"/>
        <w:textAlignment w:val="baseline"/>
        <w:rPr>
          <w:rFonts w:ascii="宋体" w:hAnsi="宋体" w:cs="宋体"/>
          <w:b/>
          <w:bCs/>
          <w:color w:val="auto"/>
          <w:kern w:val="0"/>
          <w:sz w:val="24"/>
          <w:highlight w:val="none"/>
        </w:rPr>
      </w:pPr>
    </w:p>
    <w:p w14:paraId="5A300E0C">
      <w:pPr>
        <w:widowControl/>
        <w:numPr>
          <w:ilvl w:val="1"/>
          <w:numId w:val="0"/>
        </w:numPr>
        <w:tabs>
          <w:tab w:val="left" w:pos="420"/>
          <w:tab w:val="left" w:pos="840"/>
        </w:tabs>
        <w:spacing w:line="360" w:lineRule="auto"/>
        <w:ind w:left="834" w:leftChars="0" w:hanging="834" w:firstLineChars="0"/>
        <w:jc w:val="left"/>
        <w:rPr>
          <w:rFonts w:ascii="宋体" w:hAnsi="宋体" w:cs="宋体"/>
          <w:b/>
          <w:color w:val="auto"/>
          <w:kern w:val="0"/>
          <w:sz w:val="24"/>
          <w:highlight w:val="none"/>
        </w:rPr>
      </w:pPr>
      <w:r>
        <w:rPr>
          <w:rFonts w:hint="eastAsia" w:ascii="宋体" w:hAnsi="宋体" w:cs="宋体"/>
          <w:b/>
          <w:color w:val="auto"/>
          <w:kern w:val="0"/>
          <w:sz w:val="24"/>
          <w:szCs w:val="21"/>
          <w:lang w:val="en-US" w:eastAsia="zh-CN" w:bidi="ar-SA"/>
        </w:rPr>
        <w:t>28</w:t>
      </w:r>
      <w:r>
        <w:rPr>
          <w:rFonts w:hint="default" w:ascii="宋体" w:hAnsi="宋体" w:eastAsia="宋体" w:cs="宋体"/>
          <w:b/>
          <w:color w:val="auto"/>
          <w:kern w:val="0"/>
          <w:sz w:val="24"/>
          <w:szCs w:val="21"/>
          <w:lang w:val="en-US" w:eastAsia="zh-CN" w:bidi="ar-SA"/>
        </w:rPr>
        <w:t>.1.</w:t>
      </w:r>
      <w:r>
        <w:rPr>
          <w:rFonts w:hint="eastAsia" w:ascii="宋体" w:hAnsi="宋体" w:cs="宋体"/>
          <w:b/>
          <w:color w:val="auto"/>
          <w:kern w:val="0"/>
          <w:sz w:val="24"/>
          <w:highlight w:val="none"/>
        </w:rPr>
        <w:t xml:space="preserve"> 综合评分法。</w:t>
      </w:r>
      <w:r>
        <w:rPr>
          <w:rFonts w:hint="eastAsia" w:ascii="宋体" w:hAnsi="宋体" w:cs="宋体"/>
          <w:bCs/>
          <w:color w:val="auto"/>
          <w:kern w:val="0"/>
          <w:sz w:val="24"/>
          <w:highlight w:val="none"/>
        </w:rPr>
        <w:t>是指投标文件满足招标文件全部实质性要求，且按照评审因素的量化指标评审得分最高的投标人为第一</w:t>
      </w:r>
      <w:r>
        <w:rPr>
          <w:rFonts w:hint="eastAsia" w:ascii="宋体" w:hAnsi="宋体" w:cs="宋体"/>
          <w:color w:val="auto"/>
          <w:sz w:val="24"/>
          <w:highlight w:val="none"/>
        </w:rPr>
        <w:t>候选中标供应商</w:t>
      </w:r>
      <w:r>
        <w:rPr>
          <w:rFonts w:hint="eastAsia" w:ascii="宋体" w:hAnsi="宋体" w:cs="宋体"/>
          <w:color w:val="auto"/>
          <w:kern w:val="0"/>
          <w:sz w:val="24"/>
          <w:highlight w:val="none"/>
        </w:rPr>
        <w:t>（中标候选人）、</w:t>
      </w:r>
      <w:r>
        <w:rPr>
          <w:rFonts w:hint="eastAsia" w:ascii="宋体" w:hAnsi="宋体" w:cs="宋体"/>
          <w:bCs/>
          <w:color w:val="auto"/>
          <w:kern w:val="0"/>
          <w:sz w:val="24"/>
          <w:highlight w:val="none"/>
        </w:rPr>
        <w:t>评审得分第二高的投标人为第二</w:t>
      </w:r>
      <w:r>
        <w:rPr>
          <w:rFonts w:hint="eastAsia" w:ascii="宋体" w:hAnsi="宋体" w:cs="宋体"/>
          <w:color w:val="auto"/>
          <w:sz w:val="24"/>
          <w:highlight w:val="none"/>
        </w:rPr>
        <w:t>候选中标供应商</w:t>
      </w:r>
      <w:r>
        <w:rPr>
          <w:rFonts w:hint="eastAsia" w:ascii="宋体" w:hAnsi="宋体" w:cs="宋体"/>
          <w:color w:val="auto"/>
          <w:kern w:val="0"/>
          <w:sz w:val="24"/>
          <w:highlight w:val="none"/>
        </w:rPr>
        <w:t>（中标候选人）</w:t>
      </w:r>
      <w:r>
        <w:rPr>
          <w:rFonts w:hint="eastAsia" w:ascii="宋体" w:hAnsi="宋体" w:cs="宋体"/>
          <w:bCs/>
          <w:color w:val="auto"/>
          <w:kern w:val="0"/>
          <w:sz w:val="24"/>
          <w:highlight w:val="none"/>
        </w:rPr>
        <w:t>的评标方法，</w:t>
      </w:r>
      <w:r>
        <w:rPr>
          <w:rFonts w:hint="eastAsia" w:ascii="宋体" w:hAnsi="宋体" w:cs="宋体"/>
          <w:color w:val="auto"/>
          <w:sz w:val="24"/>
          <w:highlight w:val="none"/>
        </w:rPr>
        <w:t>候选中标供应商</w:t>
      </w:r>
      <w:r>
        <w:rPr>
          <w:rFonts w:hint="eastAsia" w:ascii="宋体" w:hAnsi="宋体" w:cs="宋体"/>
          <w:color w:val="auto"/>
          <w:kern w:val="0"/>
          <w:sz w:val="24"/>
          <w:highlight w:val="none"/>
        </w:rPr>
        <w:t>（中标候选人）名单以专用条款的数量规定以此类推</w:t>
      </w:r>
      <w:r>
        <w:rPr>
          <w:rFonts w:hint="eastAsia" w:ascii="宋体" w:hAnsi="宋体" w:cs="宋体"/>
          <w:bCs/>
          <w:color w:val="auto"/>
          <w:kern w:val="0"/>
          <w:sz w:val="24"/>
          <w:highlight w:val="none"/>
        </w:rPr>
        <w:t>。</w:t>
      </w:r>
    </w:p>
    <w:p w14:paraId="4C5933F1">
      <w:pPr>
        <w:tabs>
          <w:tab w:val="left" w:pos="840"/>
          <w:tab w:val="left" w:pos="850"/>
        </w:tabs>
        <w:adjustRightInd w:val="0"/>
        <w:snapToGrid w:val="0"/>
        <w:spacing w:line="360" w:lineRule="auto"/>
        <w:ind w:left="825" w:right="26" w:hanging="825"/>
        <w:rPr>
          <w:rFonts w:ascii="宋体" w:hAns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lang w:val="en-US" w:eastAsia="zh-CN"/>
        </w:rPr>
        <w:t>8</w:t>
      </w:r>
      <w:r>
        <w:rPr>
          <w:rFonts w:ascii="宋体" w:hAnsi="宋体" w:cs="宋体"/>
          <w:color w:val="auto"/>
          <w:kern w:val="0"/>
          <w:sz w:val="24"/>
          <w:highlight w:val="none"/>
        </w:rPr>
        <w:t>.1.1.</w:t>
      </w:r>
      <w:r>
        <w:rPr>
          <w:rFonts w:hint="eastAsia" w:ascii="宋体" w:hAnsi="宋体" w:cs="宋体"/>
          <w:color w:val="auto"/>
          <w:kern w:val="0"/>
          <w:sz w:val="24"/>
          <w:highlight w:val="none"/>
        </w:rPr>
        <w:t>采用“综合评分法”以包为单位进行评审的项目。</w:t>
      </w:r>
      <w:r>
        <w:rPr>
          <w:rFonts w:hint="eastAsia" w:ascii="宋体" w:hAnsi="宋体" w:cs="宋体"/>
          <w:color w:val="auto"/>
          <w:sz w:val="24"/>
          <w:highlight w:val="none"/>
          <w:lang w:val="en-US" w:eastAsia="zh-CN"/>
        </w:rPr>
        <w:t>校内招投标小组</w:t>
      </w:r>
      <w:r>
        <w:rPr>
          <w:rFonts w:hint="eastAsia" w:ascii="宋体" w:hAnsi="宋体" w:cs="宋体"/>
          <w:color w:val="auto"/>
          <w:kern w:val="0"/>
          <w:sz w:val="24"/>
          <w:highlight w:val="none"/>
        </w:rPr>
        <w:t>会将按照招标文件的有关规定和有关法律法规的规定，本着公平、公正、科学、择优的原则，对初审合格的投标进行各方面的综合评议。每个评委独立评分，所有评委评分的算术平均值， 加上以招标文件规定的方法计算得出的价格分（资格、预选等有特殊规定的无价格分评审的项目除外），即为每个投标人的最终得分。评委评分可保留2位小数，价格分（资格、预选等有特殊规定的无价格分评审的项目除外）和评审最终得分保留2位小数。</w:t>
      </w:r>
    </w:p>
    <w:p w14:paraId="76504863">
      <w:pPr>
        <w:widowControl/>
        <w:tabs>
          <w:tab w:val="left" w:pos="420"/>
          <w:tab w:val="left" w:pos="840"/>
        </w:tabs>
        <w:spacing w:line="360" w:lineRule="auto"/>
        <w:ind w:left="834" w:hanging="834"/>
        <w:jc w:val="left"/>
        <w:rPr>
          <w:rFonts w:ascii="宋体" w:hAnsi="宋体" w:cs="宋体"/>
          <w:b/>
          <w:color w:val="auto"/>
          <w:kern w:val="0"/>
          <w:sz w:val="24"/>
          <w:highlight w:val="none"/>
        </w:rPr>
      </w:pPr>
      <w:r>
        <w:rPr>
          <w:rFonts w:ascii="宋体" w:hAnsi="宋体" w:cs="宋体"/>
          <w:b/>
          <w:color w:val="auto"/>
          <w:kern w:val="0"/>
          <w:sz w:val="24"/>
          <w:highlight w:val="none"/>
        </w:rPr>
        <w:t>2</w:t>
      </w:r>
      <w:r>
        <w:rPr>
          <w:rFonts w:hint="eastAsia" w:ascii="宋体" w:hAnsi="宋体" w:cs="宋体"/>
          <w:b/>
          <w:color w:val="auto"/>
          <w:kern w:val="0"/>
          <w:sz w:val="24"/>
          <w:highlight w:val="none"/>
          <w:lang w:val="en-US" w:eastAsia="zh-CN"/>
        </w:rPr>
        <w:t>8</w:t>
      </w:r>
      <w:r>
        <w:rPr>
          <w:rFonts w:ascii="宋体" w:hAnsi="宋体" w:cs="宋体"/>
          <w:b/>
          <w:color w:val="auto"/>
          <w:kern w:val="0"/>
          <w:sz w:val="24"/>
          <w:highlight w:val="none"/>
        </w:rPr>
        <w:t>.2.</w:t>
      </w:r>
      <w:r>
        <w:rPr>
          <w:rFonts w:hint="eastAsia" w:ascii="宋体" w:hAnsi="宋体" w:cs="宋体"/>
          <w:b/>
          <w:color w:val="auto"/>
          <w:kern w:val="0"/>
          <w:sz w:val="24"/>
          <w:highlight w:val="none"/>
        </w:rPr>
        <w:t xml:space="preserve">  最低价法，</w:t>
      </w:r>
      <w:r>
        <w:rPr>
          <w:rFonts w:hint="eastAsia" w:ascii="宋体" w:hAnsi="宋体" w:cs="宋体"/>
          <w:color w:val="auto"/>
          <w:kern w:val="0"/>
          <w:sz w:val="24"/>
          <w:highlight w:val="none"/>
        </w:rPr>
        <w:t>是指投标文件满足招标文件全部实质性要求，且投标报价最低的投标人为</w:t>
      </w:r>
      <w:r>
        <w:rPr>
          <w:rFonts w:hint="eastAsia" w:ascii="宋体" w:hAnsi="宋体" w:cs="宋体"/>
          <w:color w:val="auto"/>
          <w:sz w:val="24"/>
          <w:highlight w:val="none"/>
        </w:rPr>
        <w:t>候选中标供应商</w:t>
      </w:r>
      <w:r>
        <w:rPr>
          <w:rFonts w:hint="eastAsia" w:ascii="宋体" w:hAnsi="宋体" w:cs="宋体"/>
          <w:color w:val="auto"/>
          <w:kern w:val="0"/>
          <w:sz w:val="24"/>
          <w:highlight w:val="none"/>
        </w:rPr>
        <w:t>（中标候选人）的评标方法。</w:t>
      </w:r>
    </w:p>
    <w:p w14:paraId="7DCFE8FF">
      <w:pPr>
        <w:widowControl/>
        <w:tabs>
          <w:tab w:val="left" w:pos="420"/>
          <w:tab w:val="left" w:pos="840"/>
        </w:tabs>
        <w:spacing w:line="360" w:lineRule="auto"/>
        <w:ind w:left="834" w:hanging="834"/>
        <w:jc w:val="left"/>
        <w:rPr>
          <w:rFonts w:ascii="宋体" w:hAnsi="宋体" w:cs="宋体"/>
          <w:b/>
          <w:color w:val="auto"/>
          <w:kern w:val="0"/>
          <w:sz w:val="24"/>
          <w:highlight w:val="none"/>
        </w:rPr>
      </w:pPr>
      <w:bookmarkStart w:id="36" w:name="_Toc13058"/>
      <w:r>
        <w:rPr>
          <w:rFonts w:ascii="宋体" w:hAnsi="宋体" w:cs="宋体"/>
          <w:b/>
          <w:color w:val="auto"/>
          <w:kern w:val="0"/>
          <w:sz w:val="24"/>
          <w:highlight w:val="none"/>
        </w:rPr>
        <w:t>2</w:t>
      </w:r>
      <w:r>
        <w:rPr>
          <w:rFonts w:hint="eastAsia" w:ascii="宋体" w:hAnsi="宋体" w:cs="宋体"/>
          <w:b/>
          <w:color w:val="auto"/>
          <w:kern w:val="0"/>
          <w:sz w:val="24"/>
          <w:highlight w:val="none"/>
          <w:lang w:val="en-US" w:eastAsia="zh-CN"/>
        </w:rPr>
        <w:t>8</w:t>
      </w:r>
      <w:r>
        <w:rPr>
          <w:rFonts w:ascii="宋体" w:hAnsi="宋体" w:cs="宋体"/>
          <w:b/>
          <w:color w:val="auto"/>
          <w:kern w:val="0"/>
          <w:sz w:val="24"/>
          <w:highlight w:val="none"/>
        </w:rPr>
        <w:t>.</w:t>
      </w:r>
      <w:r>
        <w:rPr>
          <w:rFonts w:hint="eastAsia" w:ascii="宋体" w:hAnsi="宋体" w:cs="宋体"/>
          <w:b/>
          <w:color w:val="auto"/>
          <w:kern w:val="0"/>
          <w:sz w:val="24"/>
          <w:highlight w:val="none"/>
          <w:lang w:val="en-US" w:eastAsia="zh-CN"/>
        </w:rPr>
        <w:t>3</w:t>
      </w:r>
      <w:r>
        <w:rPr>
          <w:rFonts w:ascii="宋体" w:hAnsi="宋体" w:cs="宋体"/>
          <w:b/>
          <w:color w:val="auto"/>
          <w:kern w:val="0"/>
          <w:sz w:val="24"/>
          <w:highlight w:val="none"/>
        </w:rPr>
        <w:t>.</w:t>
      </w:r>
      <w:r>
        <w:rPr>
          <w:rFonts w:hint="eastAsia" w:ascii="宋体" w:hAnsi="宋体" w:cs="宋体"/>
          <w:b/>
          <w:color w:val="auto"/>
          <w:kern w:val="0"/>
          <w:sz w:val="24"/>
          <w:highlight w:val="none"/>
        </w:rPr>
        <w:t xml:space="preserve">  法律、法规规定的其他评审方法。</w:t>
      </w:r>
      <w:bookmarkEnd w:id="36"/>
    </w:p>
    <w:p w14:paraId="607915DA">
      <w:pPr>
        <w:pStyle w:val="21"/>
        <w:numPr>
          <w:ilvl w:val="0"/>
          <w:numId w:val="0"/>
        </w:numPr>
        <w:jc w:val="center"/>
        <w:rPr>
          <w:rFonts w:hint="eastAsia" w:ascii="宋体" w:hAnsi="宋体" w:eastAsia="宋体" w:cs="宋体"/>
          <w:b/>
          <w:bCs/>
          <w:color w:val="auto"/>
          <w:sz w:val="32"/>
          <w:szCs w:val="32"/>
          <w:highlight w:val="none"/>
          <w:lang w:val="en-US" w:eastAsia="zh-CN"/>
        </w:rPr>
      </w:pPr>
    </w:p>
    <w:p w14:paraId="39293E4D">
      <w:pPr>
        <w:pStyle w:val="21"/>
        <w:numPr>
          <w:ilvl w:val="0"/>
          <w:numId w:val="0"/>
        </w:numPr>
        <w:jc w:val="center"/>
        <w:rPr>
          <w:rFonts w:hint="eastAsia" w:ascii="宋体" w:hAnsi="宋体" w:eastAsia="宋体" w:cs="宋体"/>
          <w:b/>
          <w:bCs/>
          <w:color w:val="auto"/>
          <w:sz w:val="32"/>
          <w:szCs w:val="32"/>
          <w:highlight w:val="none"/>
          <w:lang w:val="en-US" w:eastAsia="zh-CN"/>
        </w:rPr>
      </w:pPr>
    </w:p>
    <w:p w14:paraId="016B77EA">
      <w:pPr>
        <w:pStyle w:val="21"/>
        <w:numPr>
          <w:ilvl w:val="0"/>
          <w:numId w:val="0"/>
        </w:numPr>
        <w:jc w:val="center"/>
        <w:rPr>
          <w:rFonts w:hint="eastAsia" w:ascii="宋体" w:hAnsi="宋体" w:eastAsia="宋体" w:cs="宋体"/>
          <w:b/>
          <w:bCs/>
          <w:color w:val="auto"/>
          <w:sz w:val="32"/>
          <w:szCs w:val="32"/>
          <w:highlight w:val="none"/>
          <w:lang w:val="en-US" w:eastAsia="zh-CN"/>
        </w:rPr>
      </w:pPr>
    </w:p>
    <w:p w14:paraId="7C70F2C9">
      <w:pPr>
        <w:pStyle w:val="21"/>
        <w:numPr>
          <w:ilvl w:val="0"/>
          <w:numId w:val="0"/>
        </w:numPr>
        <w:jc w:val="center"/>
        <w:rPr>
          <w:rFonts w:hint="eastAsia" w:ascii="宋体" w:hAnsi="宋体" w:eastAsia="宋体" w:cs="宋体"/>
          <w:b/>
          <w:bCs/>
          <w:color w:val="auto"/>
          <w:sz w:val="32"/>
          <w:szCs w:val="32"/>
          <w:highlight w:val="none"/>
          <w:lang w:val="en-US" w:eastAsia="zh-CN"/>
        </w:rPr>
      </w:pPr>
    </w:p>
    <w:p w14:paraId="6A226C9B">
      <w:pPr>
        <w:pStyle w:val="21"/>
        <w:numPr>
          <w:ilvl w:val="0"/>
          <w:numId w:val="0"/>
        </w:numPr>
        <w:jc w:val="center"/>
        <w:rPr>
          <w:rFonts w:hint="eastAsia" w:ascii="宋体" w:hAnsi="宋体" w:eastAsia="宋体" w:cs="宋体"/>
          <w:b/>
          <w:bCs/>
          <w:color w:val="auto"/>
          <w:sz w:val="32"/>
          <w:szCs w:val="32"/>
          <w:highlight w:val="none"/>
          <w:lang w:val="en-US" w:eastAsia="zh-CN"/>
        </w:rPr>
      </w:pPr>
    </w:p>
    <w:p w14:paraId="5B941A91">
      <w:pPr>
        <w:pStyle w:val="21"/>
        <w:numPr>
          <w:ilvl w:val="0"/>
          <w:numId w:val="0"/>
        </w:numPr>
        <w:jc w:val="center"/>
        <w:rPr>
          <w:rFonts w:hint="eastAsia" w:ascii="宋体" w:hAnsi="宋体" w:eastAsia="宋体" w:cs="宋体"/>
          <w:b/>
          <w:bCs/>
          <w:color w:val="auto"/>
          <w:sz w:val="32"/>
          <w:szCs w:val="32"/>
          <w:highlight w:val="none"/>
          <w:lang w:val="en-US" w:eastAsia="zh-CN"/>
        </w:rPr>
      </w:pPr>
    </w:p>
    <w:p w14:paraId="2C29C986">
      <w:pPr>
        <w:pStyle w:val="21"/>
        <w:numPr>
          <w:ilvl w:val="0"/>
          <w:numId w:val="0"/>
        </w:numPr>
        <w:jc w:val="center"/>
        <w:rPr>
          <w:rFonts w:hint="eastAsia" w:ascii="宋体" w:hAnsi="宋体" w:eastAsia="宋体" w:cs="宋体"/>
          <w:b/>
          <w:bCs/>
          <w:color w:val="auto"/>
          <w:sz w:val="32"/>
          <w:szCs w:val="32"/>
          <w:highlight w:val="none"/>
          <w:lang w:val="en-US" w:eastAsia="zh-CN"/>
        </w:rPr>
      </w:pPr>
    </w:p>
    <w:p w14:paraId="0B590954">
      <w:pPr>
        <w:pStyle w:val="21"/>
        <w:numPr>
          <w:ilvl w:val="0"/>
          <w:numId w:val="0"/>
        </w:numPr>
        <w:jc w:val="center"/>
        <w:rPr>
          <w:rFonts w:hint="eastAsia" w:ascii="宋体" w:hAnsi="宋体" w:eastAsia="宋体" w:cs="宋体"/>
          <w:b/>
          <w:bCs/>
          <w:color w:val="auto"/>
          <w:sz w:val="32"/>
          <w:szCs w:val="32"/>
          <w:highlight w:val="none"/>
          <w:lang w:val="en-US" w:eastAsia="zh-CN"/>
        </w:rPr>
      </w:pPr>
    </w:p>
    <w:p w14:paraId="2EFB1A68">
      <w:pPr>
        <w:pStyle w:val="21"/>
        <w:numPr>
          <w:ilvl w:val="0"/>
          <w:numId w:val="0"/>
        </w:numPr>
        <w:jc w:val="center"/>
        <w:rPr>
          <w:rFonts w:hint="eastAsia" w:ascii="宋体" w:hAnsi="宋体" w:eastAsia="宋体" w:cs="宋体"/>
          <w:b/>
          <w:bCs/>
          <w:color w:val="auto"/>
          <w:sz w:val="32"/>
          <w:szCs w:val="32"/>
          <w:highlight w:val="none"/>
          <w:lang w:val="en-US" w:eastAsia="zh-CN"/>
        </w:rPr>
      </w:pPr>
    </w:p>
    <w:p w14:paraId="6893019A">
      <w:pPr>
        <w:pStyle w:val="21"/>
        <w:numPr>
          <w:ilvl w:val="0"/>
          <w:numId w:val="0"/>
        </w:numPr>
        <w:jc w:val="center"/>
        <w:rPr>
          <w:rFonts w:hint="eastAsia" w:ascii="宋体" w:hAnsi="宋体" w:eastAsia="宋体" w:cs="宋体"/>
          <w:b/>
          <w:bCs/>
          <w:color w:val="auto"/>
          <w:sz w:val="32"/>
          <w:szCs w:val="32"/>
          <w:highlight w:val="none"/>
          <w:lang w:val="en-US" w:eastAsia="zh-CN"/>
        </w:rPr>
      </w:pPr>
    </w:p>
    <w:p w14:paraId="38B9FB7F">
      <w:pPr>
        <w:pStyle w:val="21"/>
        <w:numPr>
          <w:ilvl w:val="0"/>
          <w:numId w:val="0"/>
        </w:numPr>
        <w:jc w:val="center"/>
        <w:rPr>
          <w:rFonts w:hint="eastAsia" w:ascii="宋体" w:hAnsi="宋体" w:eastAsia="宋体" w:cs="宋体"/>
          <w:b/>
          <w:bCs/>
          <w:color w:val="auto"/>
          <w:sz w:val="32"/>
          <w:szCs w:val="32"/>
          <w:highlight w:val="none"/>
          <w:lang w:val="en-US" w:eastAsia="zh-CN"/>
        </w:rPr>
      </w:pPr>
    </w:p>
    <w:p w14:paraId="6FF9DB6F">
      <w:pPr>
        <w:pStyle w:val="21"/>
        <w:numPr>
          <w:ilvl w:val="0"/>
          <w:numId w:val="0"/>
        </w:numPr>
        <w:jc w:val="center"/>
        <w:rPr>
          <w:rFonts w:hint="eastAsia" w:ascii="宋体" w:hAnsi="宋体" w:eastAsia="宋体" w:cs="宋体"/>
          <w:b/>
          <w:bCs/>
          <w:color w:val="auto"/>
          <w:sz w:val="32"/>
          <w:szCs w:val="32"/>
          <w:highlight w:val="none"/>
          <w:lang w:val="en-US" w:eastAsia="zh-CN"/>
        </w:rPr>
      </w:pPr>
    </w:p>
    <w:p w14:paraId="0FF49727">
      <w:pPr>
        <w:pStyle w:val="21"/>
        <w:numPr>
          <w:ilvl w:val="0"/>
          <w:numId w:val="0"/>
        </w:numPr>
        <w:jc w:val="center"/>
        <w:rPr>
          <w:rFonts w:hint="eastAsia" w:ascii="宋体" w:hAnsi="宋体" w:eastAsia="宋体" w:cs="宋体"/>
          <w:b/>
          <w:bCs/>
          <w:color w:val="auto"/>
          <w:sz w:val="32"/>
          <w:szCs w:val="32"/>
          <w:highlight w:val="none"/>
          <w:lang w:val="en-US" w:eastAsia="zh-CN"/>
        </w:rPr>
      </w:pPr>
    </w:p>
    <w:p w14:paraId="2232AC2B">
      <w:pPr>
        <w:pStyle w:val="21"/>
        <w:numPr>
          <w:ilvl w:val="0"/>
          <w:numId w:val="0"/>
        </w:numPr>
        <w:jc w:val="center"/>
        <w:rPr>
          <w:rFonts w:hint="eastAsia" w:ascii="宋体" w:hAnsi="宋体" w:eastAsia="宋体" w:cs="宋体"/>
          <w:b/>
          <w:bCs/>
          <w:color w:val="auto"/>
          <w:sz w:val="32"/>
          <w:szCs w:val="32"/>
          <w:highlight w:val="none"/>
          <w:lang w:val="en-US" w:eastAsia="zh-CN"/>
        </w:rPr>
      </w:pPr>
    </w:p>
    <w:p w14:paraId="52F51E48">
      <w:pPr>
        <w:pStyle w:val="21"/>
        <w:numPr>
          <w:ilvl w:val="0"/>
          <w:numId w:val="0"/>
        </w:numPr>
        <w:jc w:val="center"/>
        <w:rPr>
          <w:rFonts w:hint="eastAsia" w:ascii="宋体" w:hAnsi="宋体" w:eastAsia="宋体" w:cs="宋体"/>
          <w:b/>
          <w:bCs/>
          <w:color w:val="auto"/>
          <w:sz w:val="32"/>
          <w:szCs w:val="32"/>
          <w:highlight w:val="none"/>
          <w:lang w:val="en-US" w:eastAsia="zh-CN"/>
        </w:rPr>
      </w:pPr>
    </w:p>
    <w:p w14:paraId="6BD60124">
      <w:pPr>
        <w:numPr>
          <w:ilvl w:val="0"/>
          <w:numId w:val="0"/>
        </w:numPr>
        <w:spacing w:line="360" w:lineRule="auto"/>
        <w:ind w:leftChars="0"/>
        <w:jc w:val="both"/>
        <w:rPr>
          <w:rFonts w:hint="eastAsia" w:asciiTheme="minorEastAsia" w:hAnsiTheme="minorEastAsia" w:eastAsiaTheme="minorEastAsia" w:cstheme="minorEastAsia"/>
          <w:color w:val="auto"/>
          <w:kern w:val="0"/>
          <w:sz w:val="24"/>
          <w:szCs w:val="24"/>
          <w:lang w:val="en-US" w:eastAsia="zh-CN"/>
        </w:rPr>
      </w:pPr>
    </w:p>
    <w:p w14:paraId="6D78330E">
      <w:pPr>
        <w:numPr>
          <w:ilvl w:val="0"/>
          <w:numId w:val="0"/>
        </w:numPr>
        <w:spacing w:line="360" w:lineRule="auto"/>
        <w:ind w:leftChars="0"/>
        <w:jc w:val="left"/>
        <w:rPr>
          <w:rFonts w:hint="eastAsia" w:asciiTheme="minorEastAsia" w:hAnsiTheme="minorEastAsia" w:eastAsiaTheme="minorEastAsia" w:cstheme="minorEastAsia"/>
          <w:color w:val="auto"/>
          <w:kern w:val="0"/>
          <w:sz w:val="24"/>
          <w:szCs w:val="24"/>
          <w:lang w:val="en-US" w:eastAsia="zh-CN"/>
        </w:rPr>
      </w:pPr>
    </w:p>
    <w:sectPr>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DA422">
    <w:pPr>
      <w:pStyle w:val="10"/>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7DBA45">
                          <w:pPr>
                            <w:pStyle w:val="10"/>
                            <w:rPr>
                              <w:rFonts w:cs="Times New Roman"/>
                            </w:rPr>
                          </w:pPr>
                          <w:r>
                            <w:fldChar w:fldCharType="begin"/>
                          </w:r>
                          <w:r>
                            <w:instrText xml:space="preserve"> PAGE  \* MERGEFORMAT </w:instrText>
                          </w:r>
                          <w:r>
                            <w:fldChar w:fldCharType="separate"/>
                          </w:r>
                          <w:r>
                            <w:t>9</w:t>
                          </w:r>
                          <w:r>
                            <w:fldChar w:fldCharType="end"/>
                          </w:r>
                        </w:p>
                      </w:txbxContent>
                    </wps:txbx>
                    <wps:bodyPr vert="horz" wrap="none" lIns="0" tIns="0" rIns="0" bIns="0" anchor="t"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zSVju0AAAAAUB&#10;AAAPAAAAAAAAAAEAIAAAACIAAABkcnMvZG93bnJldi54bWxQSwECFAAUAAAACACHTuJA+EnSseoB&#10;AADKAwAADgAAAAAAAAABACAAAAAfAQAAZHJzL2Uyb0RvYy54bWxQSwUGAAAAAAYABgBZAQAAewUA&#10;AAAA&#10;">
              <v:fill on="f" focussize="0,0"/>
              <v:stroke on="f" weight="0.5pt"/>
              <v:imagedata o:title=""/>
              <o:lock v:ext="edit" aspectratio="f"/>
              <v:textbox inset="0mm,0mm,0mm,0mm" style="mso-fit-shape-to-text:t;">
                <w:txbxContent>
                  <w:p w14:paraId="147DBA45">
                    <w:pPr>
                      <w:pStyle w:val="10"/>
                      <w:rPr>
                        <w:rFonts w:cs="Times New Roman"/>
                      </w:rPr>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9701F"/>
    <w:multiLevelType w:val="singleLevel"/>
    <w:tmpl w:val="8079701F"/>
    <w:lvl w:ilvl="0" w:tentative="0">
      <w:start w:val="1"/>
      <w:numFmt w:val="chineseCounting"/>
      <w:suff w:val="nothing"/>
      <w:lvlText w:val="%1、"/>
      <w:lvlJc w:val="left"/>
      <w:rPr>
        <w:rFonts w:hint="eastAsia"/>
      </w:rPr>
    </w:lvl>
  </w:abstractNum>
  <w:abstractNum w:abstractNumId="1">
    <w:nsid w:val="94AF1319"/>
    <w:multiLevelType w:val="singleLevel"/>
    <w:tmpl w:val="94AF1319"/>
    <w:lvl w:ilvl="0" w:tentative="0">
      <w:start w:val="1"/>
      <w:numFmt w:val="decimal"/>
      <w:suff w:val="nothing"/>
      <w:lvlText w:val="%1、"/>
      <w:lvlJc w:val="left"/>
    </w:lvl>
  </w:abstractNum>
  <w:abstractNum w:abstractNumId="2">
    <w:nsid w:val="94F102D2"/>
    <w:multiLevelType w:val="singleLevel"/>
    <w:tmpl w:val="94F102D2"/>
    <w:lvl w:ilvl="0" w:tentative="0">
      <w:start w:val="1"/>
      <w:numFmt w:val="chineseCounting"/>
      <w:suff w:val="nothing"/>
      <w:lvlText w:val="（%1）"/>
      <w:lvlJc w:val="left"/>
      <w:rPr>
        <w:rFonts w:hint="eastAsia"/>
      </w:rPr>
    </w:lvl>
  </w:abstractNum>
  <w:abstractNum w:abstractNumId="3">
    <w:nsid w:val="9F893B20"/>
    <w:multiLevelType w:val="singleLevel"/>
    <w:tmpl w:val="9F893B20"/>
    <w:lvl w:ilvl="0" w:tentative="0">
      <w:start w:val="1"/>
      <w:numFmt w:val="decimal"/>
      <w:suff w:val="nothing"/>
      <w:lvlText w:val="%1、"/>
      <w:lvlJc w:val="left"/>
      <w:pPr>
        <w:ind w:left="420" w:leftChars="0" w:firstLine="0" w:firstLineChars="0"/>
      </w:pPr>
    </w:lvl>
  </w:abstractNum>
  <w:abstractNum w:abstractNumId="4">
    <w:nsid w:val="9F8968E2"/>
    <w:multiLevelType w:val="singleLevel"/>
    <w:tmpl w:val="9F8968E2"/>
    <w:lvl w:ilvl="0" w:tentative="0">
      <w:start w:val="1"/>
      <w:numFmt w:val="chineseCounting"/>
      <w:suff w:val="space"/>
      <w:lvlText w:val="第%1部分"/>
      <w:lvlJc w:val="left"/>
      <w:rPr>
        <w:rFonts w:hint="eastAsia"/>
      </w:rPr>
    </w:lvl>
  </w:abstractNum>
  <w:abstractNum w:abstractNumId="5">
    <w:nsid w:val="B5E13E55"/>
    <w:multiLevelType w:val="singleLevel"/>
    <w:tmpl w:val="B5E13E55"/>
    <w:lvl w:ilvl="0" w:tentative="0">
      <w:start w:val="2"/>
      <w:numFmt w:val="chineseCounting"/>
      <w:suff w:val="nothing"/>
      <w:lvlText w:val="%1、"/>
      <w:lvlJc w:val="left"/>
      <w:rPr>
        <w:rFonts w:hint="eastAsia"/>
      </w:rPr>
    </w:lvl>
  </w:abstractNum>
  <w:abstractNum w:abstractNumId="6">
    <w:nsid w:val="B87A6915"/>
    <w:multiLevelType w:val="singleLevel"/>
    <w:tmpl w:val="B87A6915"/>
    <w:lvl w:ilvl="0" w:tentative="0">
      <w:start w:val="2"/>
      <w:numFmt w:val="chineseCounting"/>
      <w:suff w:val="space"/>
      <w:lvlText w:val="第%1章"/>
      <w:lvlJc w:val="left"/>
      <w:rPr>
        <w:rFonts w:hint="eastAsia"/>
      </w:rPr>
    </w:lvl>
  </w:abstractNum>
  <w:abstractNum w:abstractNumId="7">
    <w:nsid w:val="BB1B8EEE"/>
    <w:multiLevelType w:val="singleLevel"/>
    <w:tmpl w:val="BB1B8EEE"/>
    <w:lvl w:ilvl="0" w:tentative="0">
      <w:start w:val="1"/>
      <w:numFmt w:val="decimal"/>
      <w:lvlText w:val="%1."/>
      <w:lvlJc w:val="left"/>
      <w:pPr>
        <w:ind w:left="425" w:hanging="425"/>
      </w:pPr>
      <w:rPr>
        <w:rFonts w:hint="default"/>
      </w:rPr>
    </w:lvl>
  </w:abstractNum>
  <w:abstractNum w:abstractNumId="8">
    <w:nsid w:val="D1316F84"/>
    <w:multiLevelType w:val="singleLevel"/>
    <w:tmpl w:val="D1316F84"/>
    <w:lvl w:ilvl="0" w:tentative="0">
      <w:start w:val="3"/>
      <w:numFmt w:val="decimal"/>
      <w:lvlText w:val="%1."/>
      <w:lvlJc w:val="left"/>
      <w:pPr>
        <w:tabs>
          <w:tab w:val="left" w:pos="312"/>
        </w:tabs>
      </w:pPr>
    </w:lvl>
  </w:abstractNum>
  <w:abstractNum w:abstractNumId="9">
    <w:nsid w:val="E26086D3"/>
    <w:multiLevelType w:val="singleLevel"/>
    <w:tmpl w:val="E26086D3"/>
    <w:lvl w:ilvl="0" w:tentative="0">
      <w:start w:val="1"/>
      <w:numFmt w:val="decimal"/>
      <w:lvlText w:val="6.5.%1."/>
      <w:lvlJc w:val="left"/>
      <w:pPr>
        <w:tabs>
          <w:tab w:val="left" w:pos="420"/>
        </w:tabs>
        <w:ind w:left="425" w:hanging="425"/>
      </w:pPr>
      <w:rPr>
        <w:rFonts w:hint="default"/>
      </w:rPr>
    </w:lvl>
  </w:abstractNum>
  <w:abstractNum w:abstractNumId="10">
    <w:nsid w:val="0000000F"/>
    <w:multiLevelType w:val="singleLevel"/>
    <w:tmpl w:val="0000000F"/>
    <w:lvl w:ilvl="0" w:tentative="0">
      <w:start w:val="1"/>
      <w:numFmt w:val="decimal"/>
      <w:lvlText w:val="1.%1."/>
      <w:lvlJc w:val="left"/>
      <w:pPr>
        <w:tabs>
          <w:tab w:val="left" w:pos="850"/>
        </w:tabs>
        <w:ind w:left="1134" w:hanging="1134"/>
      </w:pPr>
      <w:rPr>
        <w:rFonts w:hint="default"/>
      </w:rPr>
    </w:lvl>
  </w:abstractNum>
  <w:abstractNum w:abstractNumId="11">
    <w:nsid w:val="00000010"/>
    <w:multiLevelType w:val="multilevel"/>
    <w:tmpl w:val="00000010"/>
    <w:lvl w:ilvl="0" w:tentative="0">
      <w:start w:val="1"/>
      <w:numFmt w:val="decimal"/>
      <w:lvlText w:val="%1."/>
      <w:lvlJc w:val="left"/>
      <w:pPr>
        <w:tabs>
          <w:tab w:val="left" w:pos="850"/>
        </w:tabs>
        <w:ind w:left="1417" w:hanging="1417"/>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2">
    <w:nsid w:val="00000011"/>
    <w:multiLevelType w:val="singleLevel"/>
    <w:tmpl w:val="00000011"/>
    <w:lvl w:ilvl="0" w:tentative="0">
      <w:start w:val="1"/>
      <w:numFmt w:val="decimal"/>
      <w:lvlText w:val="2.%1."/>
      <w:lvlJc w:val="left"/>
      <w:pPr>
        <w:tabs>
          <w:tab w:val="left" w:pos="850"/>
        </w:tabs>
        <w:ind w:left="1417" w:hanging="1417"/>
      </w:pPr>
      <w:rPr>
        <w:rFonts w:hint="default"/>
      </w:rPr>
    </w:lvl>
  </w:abstractNum>
  <w:abstractNum w:abstractNumId="13">
    <w:nsid w:val="00000012"/>
    <w:multiLevelType w:val="singleLevel"/>
    <w:tmpl w:val="00000012"/>
    <w:lvl w:ilvl="0" w:tentative="0">
      <w:start w:val="1"/>
      <w:numFmt w:val="decimal"/>
      <w:lvlText w:val="3.%1."/>
      <w:lvlJc w:val="left"/>
      <w:pPr>
        <w:tabs>
          <w:tab w:val="left" w:pos="850"/>
        </w:tabs>
        <w:ind w:left="1417" w:hanging="1417"/>
      </w:pPr>
      <w:rPr>
        <w:rFonts w:hint="default"/>
      </w:rPr>
    </w:lvl>
  </w:abstractNum>
  <w:abstractNum w:abstractNumId="14">
    <w:nsid w:val="00000013"/>
    <w:multiLevelType w:val="singleLevel"/>
    <w:tmpl w:val="00000013"/>
    <w:lvl w:ilvl="0" w:tentative="0">
      <w:start w:val="1"/>
      <w:numFmt w:val="decimal"/>
      <w:lvlText w:val="4.%1."/>
      <w:lvlJc w:val="left"/>
      <w:pPr>
        <w:tabs>
          <w:tab w:val="left" w:pos="850"/>
        </w:tabs>
        <w:ind w:left="1134" w:hanging="1134"/>
      </w:pPr>
      <w:rPr>
        <w:rFonts w:hint="default"/>
      </w:rPr>
    </w:lvl>
  </w:abstractNum>
  <w:abstractNum w:abstractNumId="15">
    <w:nsid w:val="00000014"/>
    <w:multiLevelType w:val="multilevel"/>
    <w:tmpl w:val="00000014"/>
    <w:lvl w:ilvl="0" w:tentative="0">
      <w:start w:val="1"/>
      <w:numFmt w:val="decimal"/>
      <w:lvlText w:val="10.%1."/>
      <w:lvlJc w:val="left"/>
      <w:pPr>
        <w:tabs>
          <w:tab w:val="left" w:pos="850"/>
        </w:tabs>
        <w:ind w:left="1134" w:hanging="1134"/>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6">
    <w:nsid w:val="00000015"/>
    <w:multiLevelType w:val="singleLevel"/>
    <w:tmpl w:val="00000015"/>
    <w:lvl w:ilvl="0" w:tentative="0">
      <w:start w:val="1"/>
      <w:numFmt w:val="decimal"/>
      <w:lvlText w:val="11.%1."/>
      <w:lvlJc w:val="left"/>
      <w:pPr>
        <w:tabs>
          <w:tab w:val="left" w:pos="850"/>
        </w:tabs>
        <w:ind w:left="1134" w:hanging="1134"/>
      </w:pPr>
      <w:rPr>
        <w:rFonts w:hint="default"/>
      </w:rPr>
    </w:lvl>
  </w:abstractNum>
  <w:abstractNum w:abstractNumId="17">
    <w:nsid w:val="00000016"/>
    <w:multiLevelType w:val="multilevel"/>
    <w:tmpl w:val="00000016"/>
    <w:lvl w:ilvl="0" w:tentative="0">
      <w:start w:val="1"/>
      <w:numFmt w:val="decimal"/>
      <w:lvlText w:val="12.%1."/>
      <w:lvlJc w:val="left"/>
      <w:pPr>
        <w:tabs>
          <w:tab w:val="left" w:pos="850"/>
        </w:tabs>
        <w:ind w:left="1134" w:hanging="1134"/>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8">
    <w:nsid w:val="00000017"/>
    <w:multiLevelType w:val="multilevel"/>
    <w:tmpl w:val="00000017"/>
    <w:lvl w:ilvl="0" w:tentative="0">
      <w:start w:val="1"/>
      <w:numFmt w:val="decimal"/>
      <w:lvlText w:val="13.%1."/>
      <w:lvlJc w:val="left"/>
      <w:pPr>
        <w:tabs>
          <w:tab w:val="left" w:pos="850"/>
        </w:tabs>
        <w:ind w:left="1134" w:hanging="1134"/>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9">
    <w:nsid w:val="00000018"/>
    <w:multiLevelType w:val="singleLevel"/>
    <w:tmpl w:val="00000018"/>
    <w:lvl w:ilvl="0" w:tentative="0">
      <w:start w:val="1"/>
      <w:numFmt w:val="decimal"/>
      <w:lvlText w:val="14.%1."/>
      <w:lvlJc w:val="left"/>
      <w:pPr>
        <w:tabs>
          <w:tab w:val="left" w:pos="850"/>
        </w:tabs>
        <w:ind w:left="1134" w:hanging="1134"/>
      </w:pPr>
      <w:rPr>
        <w:rFonts w:hint="default"/>
      </w:rPr>
    </w:lvl>
  </w:abstractNum>
  <w:abstractNum w:abstractNumId="20">
    <w:nsid w:val="00000019"/>
    <w:multiLevelType w:val="multilevel"/>
    <w:tmpl w:val="00000019"/>
    <w:lvl w:ilvl="0" w:tentative="0">
      <w:start w:val="1"/>
      <w:numFmt w:val="decimal"/>
      <w:lvlText w:val="15.%1."/>
      <w:lvlJc w:val="left"/>
      <w:pPr>
        <w:tabs>
          <w:tab w:val="left" w:pos="850"/>
        </w:tabs>
        <w:ind w:left="1134" w:hanging="1134"/>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0000001C"/>
    <w:multiLevelType w:val="multilevel"/>
    <w:tmpl w:val="0000001C"/>
    <w:lvl w:ilvl="0" w:tentative="0">
      <w:start w:val="4"/>
      <w:numFmt w:val="chineseCounting"/>
      <w:suff w:val="space"/>
      <w:lvlText w:val="%1、"/>
      <w:lvlJc w:val="left"/>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2">
    <w:nsid w:val="00000048"/>
    <w:multiLevelType w:val="singleLevel"/>
    <w:tmpl w:val="00000048"/>
    <w:lvl w:ilvl="0" w:tentative="0">
      <w:start w:val="1"/>
      <w:numFmt w:val="decimal"/>
      <w:lvlText w:val="5.%1."/>
      <w:lvlJc w:val="left"/>
      <w:pPr>
        <w:tabs>
          <w:tab w:val="left" w:pos="850"/>
        </w:tabs>
        <w:ind w:left="1134" w:hanging="1134"/>
      </w:pPr>
      <w:rPr>
        <w:rFonts w:hint="default"/>
      </w:rPr>
    </w:lvl>
  </w:abstractNum>
  <w:abstractNum w:abstractNumId="23">
    <w:nsid w:val="0000004E"/>
    <w:multiLevelType w:val="singleLevel"/>
    <w:tmpl w:val="0000004E"/>
    <w:lvl w:ilvl="0" w:tentative="0">
      <w:start w:val="1"/>
      <w:numFmt w:val="decimal"/>
      <w:lvlText w:val="6.%1."/>
      <w:lvlJc w:val="left"/>
      <w:pPr>
        <w:tabs>
          <w:tab w:val="left" w:pos="850"/>
        </w:tabs>
        <w:ind w:left="1701" w:hanging="1701"/>
      </w:pPr>
      <w:rPr>
        <w:rFonts w:hint="default"/>
      </w:rPr>
    </w:lvl>
  </w:abstractNum>
  <w:abstractNum w:abstractNumId="24">
    <w:nsid w:val="0000004F"/>
    <w:multiLevelType w:val="singleLevel"/>
    <w:tmpl w:val="0000004F"/>
    <w:lvl w:ilvl="0" w:tentative="0">
      <w:start w:val="1"/>
      <w:numFmt w:val="decimal"/>
      <w:lvlText w:val="7.%1."/>
      <w:lvlJc w:val="left"/>
      <w:pPr>
        <w:tabs>
          <w:tab w:val="left" w:pos="850"/>
        </w:tabs>
        <w:ind w:left="1701" w:hanging="1701"/>
      </w:pPr>
      <w:rPr>
        <w:rFonts w:hint="default"/>
      </w:rPr>
    </w:lvl>
  </w:abstractNum>
  <w:abstractNum w:abstractNumId="25">
    <w:nsid w:val="00000050"/>
    <w:multiLevelType w:val="singleLevel"/>
    <w:tmpl w:val="00000050"/>
    <w:lvl w:ilvl="0" w:tentative="0">
      <w:start w:val="1"/>
      <w:numFmt w:val="decimal"/>
      <w:lvlText w:val="8.%1."/>
      <w:lvlJc w:val="left"/>
      <w:pPr>
        <w:tabs>
          <w:tab w:val="left" w:pos="850"/>
        </w:tabs>
        <w:ind w:left="1701" w:hanging="1701"/>
      </w:pPr>
      <w:rPr>
        <w:rFonts w:hint="default"/>
      </w:rPr>
    </w:lvl>
  </w:abstractNum>
  <w:abstractNum w:abstractNumId="26">
    <w:nsid w:val="00000051"/>
    <w:multiLevelType w:val="singleLevel"/>
    <w:tmpl w:val="00000051"/>
    <w:lvl w:ilvl="0" w:tentative="0">
      <w:start w:val="1"/>
      <w:numFmt w:val="decimal"/>
      <w:lvlText w:val="9.%1."/>
      <w:lvlJc w:val="left"/>
      <w:pPr>
        <w:tabs>
          <w:tab w:val="left" w:pos="850"/>
        </w:tabs>
        <w:ind w:left="1701" w:hanging="1701"/>
      </w:pPr>
      <w:rPr>
        <w:rFonts w:hint="default"/>
      </w:rPr>
    </w:lvl>
  </w:abstractNum>
  <w:abstractNum w:abstractNumId="27">
    <w:nsid w:val="17ABCFA7"/>
    <w:multiLevelType w:val="singleLevel"/>
    <w:tmpl w:val="17ABCFA7"/>
    <w:lvl w:ilvl="0" w:tentative="0">
      <w:start w:val="2"/>
      <w:numFmt w:val="decimal"/>
      <w:suff w:val="nothing"/>
      <w:lvlText w:val="%1、"/>
      <w:lvlJc w:val="left"/>
      <w:pPr>
        <w:ind w:left="720" w:firstLine="0"/>
      </w:pPr>
    </w:lvl>
  </w:abstractNum>
  <w:abstractNum w:abstractNumId="28">
    <w:nsid w:val="1CCADC6A"/>
    <w:multiLevelType w:val="singleLevel"/>
    <w:tmpl w:val="1CCADC6A"/>
    <w:lvl w:ilvl="0" w:tentative="0">
      <w:start w:val="1"/>
      <w:numFmt w:val="chineseCounting"/>
      <w:suff w:val="nothing"/>
      <w:lvlText w:val="%1、"/>
      <w:lvlJc w:val="left"/>
      <w:rPr>
        <w:rFonts w:hint="eastAsia"/>
      </w:rPr>
    </w:lvl>
  </w:abstractNum>
  <w:abstractNum w:abstractNumId="29">
    <w:nsid w:val="2896D87C"/>
    <w:multiLevelType w:val="singleLevel"/>
    <w:tmpl w:val="2896D87C"/>
    <w:lvl w:ilvl="0" w:tentative="0">
      <w:start w:val="1"/>
      <w:numFmt w:val="decimal"/>
      <w:suff w:val="nothing"/>
      <w:lvlText w:val="%1、"/>
      <w:lvlJc w:val="left"/>
    </w:lvl>
  </w:abstractNum>
  <w:abstractNum w:abstractNumId="30">
    <w:nsid w:val="28CE354C"/>
    <w:multiLevelType w:val="singleLevel"/>
    <w:tmpl w:val="28CE354C"/>
    <w:lvl w:ilvl="0" w:tentative="0">
      <w:start w:val="1"/>
      <w:numFmt w:val="decimal"/>
      <w:suff w:val="nothing"/>
      <w:lvlText w:val="%1、"/>
      <w:lvlJc w:val="left"/>
      <w:pPr>
        <w:ind w:left="420" w:leftChars="0" w:firstLine="0" w:firstLineChars="0"/>
      </w:pPr>
    </w:lvl>
  </w:abstractNum>
  <w:abstractNum w:abstractNumId="31">
    <w:nsid w:val="2EF70800"/>
    <w:multiLevelType w:val="singleLevel"/>
    <w:tmpl w:val="2EF70800"/>
    <w:lvl w:ilvl="0" w:tentative="0">
      <w:start w:val="1"/>
      <w:numFmt w:val="decimal"/>
      <w:lvlText w:val="2.3.%1."/>
      <w:lvlJc w:val="left"/>
      <w:pPr>
        <w:tabs>
          <w:tab w:val="left" w:pos="420"/>
        </w:tabs>
        <w:ind w:left="425" w:hanging="425"/>
      </w:pPr>
      <w:rPr>
        <w:rFonts w:hint="default"/>
      </w:rPr>
    </w:lvl>
  </w:abstractNum>
  <w:abstractNum w:abstractNumId="32">
    <w:nsid w:val="33D341EC"/>
    <w:multiLevelType w:val="singleLevel"/>
    <w:tmpl w:val="33D341EC"/>
    <w:lvl w:ilvl="0" w:tentative="0">
      <w:start w:val="1"/>
      <w:numFmt w:val="decimal"/>
      <w:suff w:val="nothing"/>
      <w:lvlText w:val="%1、"/>
      <w:lvlJc w:val="left"/>
    </w:lvl>
  </w:abstractNum>
  <w:abstractNum w:abstractNumId="33">
    <w:nsid w:val="52FAED75"/>
    <w:multiLevelType w:val="singleLevel"/>
    <w:tmpl w:val="52FAED75"/>
    <w:lvl w:ilvl="0" w:tentative="0">
      <w:start w:val="1"/>
      <w:numFmt w:val="decimal"/>
      <w:lvlText w:val="%1)"/>
      <w:lvlJc w:val="left"/>
      <w:pPr>
        <w:tabs>
          <w:tab w:val="left" w:pos="425"/>
        </w:tabs>
        <w:ind w:left="425" w:hanging="425"/>
      </w:pPr>
      <w:rPr>
        <w:rFonts w:hint="default"/>
      </w:rPr>
    </w:lvl>
  </w:abstractNum>
  <w:abstractNum w:abstractNumId="34">
    <w:nsid w:val="65641ECD"/>
    <w:multiLevelType w:val="singleLevel"/>
    <w:tmpl w:val="65641ECD"/>
    <w:lvl w:ilvl="0" w:tentative="0">
      <w:start w:val="1"/>
      <w:numFmt w:val="lowerLetter"/>
      <w:suff w:val="nothing"/>
      <w:lvlText w:val="%1、"/>
      <w:lvlJc w:val="left"/>
    </w:lvl>
  </w:abstractNum>
  <w:abstractNum w:abstractNumId="35">
    <w:nsid w:val="761B87AD"/>
    <w:multiLevelType w:val="singleLevel"/>
    <w:tmpl w:val="761B87AD"/>
    <w:lvl w:ilvl="0" w:tentative="0">
      <w:start w:val="1"/>
      <w:numFmt w:val="decimal"/>
      <w:suff w:val="nothing"/>
      <w:lvlText w:val="%1、"/>
      <w:lvlJc w:val="left"/>
    </w:lvl>
  </w:abstractNum>
  <w:num w:numId="1">
    <w:abstractNumId w:val="5"/>
  </w:num>
  <w:num w:numId="2">
    <w:abstractNumId w:val="32"/>
  </w:num>
  <w:num w:numId="3">
    <w:abstractNumId w:val="30"/>
  </w:num>
  <w:num w:numId="4">
    <w:abstractNumId w:val="3"/>
  </w:num>
  <w:num w:numId="5">
    <w:abstractNumId w:val="6"/>
  </w:num>
  <w:num w:numId="6">
    <w:abstractNumId w:val="1"/>
  </w:num>
  <w:num w:numId="7">
    <w:abstractNumId w:val="29"/>
  </w:num>
  <w:num w:numId="8">
    <w:abstractNumId w:val="0"/>
  </w:num>
  <w:num w:numId="9">
    <w:abstractNumId w:val="35"/>
  </w:num>
  <w:num w:numId="10">
    <w:abstractNumId w:val="8"/>
  </w:num>
  <w:num w:numId="11">
    <w:abstractNumId w:val="33"/>
  </w:num>
  <w:num w:numId="12">
    <w:abstractNumId w:val="34"/>
  </w:num>
  <w:num w:numId="13">
    <w:abstractNumId w:val="4"/>
  </w:num>
  <w:num w:numId="14">
    <w:abstractNumId w:val="28"/>
  </w:num>
  <w:num w:numId="15">
    <w:abstractNumId w:val="2"/>
  </w:num>
  <w:num w:numId="16">
    <w:abstractNumId w:val="27"/>
  </w:num>
  <w:num w:numId="17">
    <w:abstractNumId w:val="7"/>
  </w:num>
  <w:num w:numId="18">
    <w:abstractNumId w:val="11"/>
    <w:lvlOverride w:ilvl="0">
      <w:startOverride w:val="1"/>
    </w:lvlOverride>
  </w:num>
  <w:num w:numId="19">
    <w:abstractNumId w:val="10"/>
    <w:lvlOverride w:ilvl="0">
      <w:startOverride w:val="1"/>
    </w:lvlOverride>
  </w:num>
  <w:num w:numId="20">
    <w:abstractNumId w:val="12"/>
    <w:lvlOverride w:ilvl="0">
      <w:startOverride w:val="1"/>
    </w:lvlOverride>
  </w:num>
  <w:num w:numId="21">
    <w:abstractNumId w:val="31"/>
    <w:lvlOverride w:ilvl="0">
      <w:startOverride w:val="1"/>
    </w:lvlOverride>
  </w:num>
  <w:num w:numId="22">
    <w:abstractNumId w:val="13"/>
    <w:lvlOverride w:ilvl="0">
      <w:startOverride w:val="1"/>
    </w:lvlOverride>
  </w:num>
  <w:num w:numId="23">
    <w:abstractNumId w:val="14"/>
    <w:lvlOverride w:ilvl="0">
      <w:startOverride w:val="1"/>
    </w:lvlOverride>
  </w:num>
  <w:num w:numId="24">
    <w:abstractNumId w:val="22"/>
    <w:lvlOverride w:ilvl="0">
      <w:startOverride w:val="1"/>
    </w:lvlOverride>
  </w:num>
  <w:num w:numId="25">
    <w:abstractNumId w:val="23"/>
    <w:lvlOverride w:ilvl="0">
      <w:startOverride w:val="1"/>
    </w:lvlOverride>
  </w:num>
  <w:num w:numId="26">
    <w:abstractNumId w:val="9"/>
    <w:lvlOverride w:ilvl="0">
      <w:startOverride w:val="1"/>
    </w:lvlOverride>
  </w:num>
  <w:num w:numId="27">
    <w:abstractNumId w:val="24"/>
  </w:num>
  <w:num w:numId="28">
    <w:abstractNumId w:val="25"/>
  </w:num>
  <w:num w:numId="29">
    <w:abstractNumId w:val="26"/>
    <w:lvlOverride w:ilvl="0">
      <w:startOverride w:val="1"/>
    </w:lvlOverride>
  </w:num>
  <w:num w:numId="30">
    <w:abstractNumId w:val="15"/>
    <w:lvlOverride w:ilvl="0">
      <w:startOverride w:val="1"/>
    </w:lvlOverride>
  </w:num>
  <w:num w:numId="31">
    <w:abstractNumId w:val="16"/>
    <w:lvlOverride w:ilvl="0">
      <w:startOverride w:val="1"/>
    </w:lvlOverride>
  </w:num>
  <w:num w:numId="32">
    <w:abstractNumId w:val="17"/>
    <w:lvlOverride w:ilvl="0">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num>
  <w:num w:numId="35">
    <w:abstractNumId w:val="20"/>
    <w:lvlOverride w:ilvl="0">
      <w:startOverride w:val="1"/>
    </w:lvlOverride>
  </w:num>
  <w:num w:numId="36">
    <w:abstractNumId w:val="2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3Zjk5NTIyYzY0MzVjZTE1NDBmZGI5YWQ0ZmFmZjYifQ=="/>
  </w:docVars>
  <w:rsids>
    <w:rsidRoot w:val="06926BB3"/>
    <w:rsid w:val="000904B8"/>
    <w:rsid w:val="000C6E63"/>
    <w:rsid w:val="000D04FB"/>
    <w:rsid w:val="000D77BB"/>
    <w:rsid w:val="000E3D43"/>
    <w:rsid w:val="00101966"/>
    <w:rsid w:val="00240A43"/>
    <w:rsid w:val="00244112"/>
    <w:rsid w:val="003066C4"/>
    <w:rsid w:val="003260DD"/>
    <w:rsid w:val="00523644"/>
    <w:rsid w:val="00693B43"/>
    <w:rsid w:val="007A6F4D"/>
    <w:rsid w:val="008A64D7"/>
    <w:rsid w:val="008C0B7E"/>
    <w:rsid w:val="00AC4A76"/>
    <w:rsid w:val="00AE0F2D"/>
    <w:rsid w:val="00C27338"/>
    <w:rsid w:val="00C32D99"/>
    <w:rsid w:val="00C51F13"/>
    <w:rsid w:val="00CB0B4D"/>
    <w:rsid w:val="00E37E9D"/>
    <w:rsid w:val="00E4656D"/>
    <w:rsid w:val="00E53716"/>
    <w:rsid w:val="00F1585D"/>
    <w:rsid w:val="00FD7A4E"/>
    <w:rsid w:val="0114466F"/>
    <w:rsid w:val="01A474DC"/>
    <w:rsid w:val="01DA3F8E"/>
    <w:rsid w:val="022359D5"/>
    <w:rsid w:val="02EE43FC"/>
    <w:rsid w:val="031D33C6"/>
    <w:rsid w:val="03FD5492"/>
    <w:rsid w:val="04405FDB"/>
    <w:rsid w:val="046B380C"/>
    <w:rsid w:val="04A021F0"/>
    <w:rsid w:val="0553037A"/>
    <w:rsid w:val="056E16E8"/>
    <w:rsid w:val="05C72973"/>
    <w:rsid w:val="06926BB3"/>
    <w:rsid w:val="06EF02CF"/>
    <w:rsid w:val="074169C5"/>
    <w:rsid w:val="079D785A"/>
    <w:rsid w:val="07A013B8"/>
    <w:rsid w:val="07AE1423"/>
    <w:rsid w:val="08390F79"/>
    <w:rsid w:val="08A73D7D"/>
    <w:rsid w:val="09830977"/>
    <w:rsid w:val="0BC6723B"/>
    <w:rsid w:val="0C437D96"/>
    <w:rsid w:val="0D5F7256"/>
    <w:rsid w:val="0DE4172C"/>
    <w:rsid w:val="0DF27BA0"/>
    <w:rsid w:val="0E1D09D7"/>
    <w:rsid w:val="0E866FAE"/>
    <w:rsid w:val="0EA4537B"/>
    <w:rsid w:val="0F716FBC"/>
    <w:rsid w:val="10192AA2"/>
    <w:rsid w:val="12813B49"/>
    <w:rsid w:val="12BB25C4"/>
    <w:rsid w:val="13DB7722"/>
    <w:rsid w:val="13DB7E0D"/>
    <w:rsid w:val="14350994"/>
    <w:rsid w:val="14B75334"/>
    <w:rsid w:val="150F5DEE"/>
    <w:rsid w:val="16092AE3"/>
    <w:rsid w:val="167E0F42"/>
    <w:rsid w:val="16DA4F50"/>
    <w:rsid w:val="180E0D8B"/>
    <w:rsid w:val="182668FD"/>
    <w:rsid w:val="183359DE"/>
    <w:rsid w:val="1963396D"/>
    <w:rsid w:val="198710A2"/>
    <w:rsid w:val="19A35221"/>
    <w:rsid w:val="19F401D7"/>
    <w:rsid w:val="1A6B1806"/>
    <w:rsid w:val="1AE85BF7"/>
    <w:rsid w:val="1AFC6A48"/>
    <w:rsid w:val="1B2D25DF"/>
    <w:rsid w:val="1BE111AE"/>
    <w:rsid w:val="1BF9302F"/>
    <w:rsid w:val="1CF415A3"/>
    <w:rsid w:val="1D1E08F1"/>
    <w:rsid w:val="1D345743"/>
    <w:rsid w:val="1E9640DB"/>
    <w:rsid w:val="20665968"/>
    <w:rsid w:val="20D11476"/>
    <w:rsid w:val="20F14434"/>
    <w:rsid w:val="21ED3BAF"/>
    <w:rsid w:val="23332F19"/>
    <w:rsid w:val="241125B2"/>
    <w:rsid w:val="24BC236C"/>
    <w:rsid w:val="25104604"/>
    <w:rsid w:val="25913200"/>
    <w:rsid w:val="259B6893"/>
    <w:rsid w:val="25D12BAF"/>
    <w:rsid w:val="26DB25C8"/>
    <w:rsid w:val="272C5080"/>
    <w:rsid w:val="284A5469"/>
    <w:rsid w:val="294D28FB"/>
    <w:rsid w:val="2B245F54"/>
    <w:rsid w:val="2B510E49"/>
    <w:rsid w:val="2B961107"/>
    <w:rsid w:val="2BB7014A"/>
    <w:rsid w:val="2BF41F57"/>
    <w:rsid w:val="2C6832F7"/>
    <w:rsid w:val="2CE67146"/>
    <w:rsid w:val="2D03509D"/>
    <w:rsid w:val="2D050C29"/>
    <w:rsid w:val="2D122B4E"/>
    <w:rsid w:val="2D540982"/>
    <w:rsid w:val="2DB817D5"/>
    <w:rsid w:val="2DCA6768"/>
    <w:rsid w:val="2ED4784C"/>
    <w:rsid w:val="2F584F87"/>
    <w:rsid w:val="2F9A271C"/>
    <w:rsid w:val="2FE27199"/>
    <w:rsid w:val="303E2430"/>
    <w:rsid w:val="30575989"/>
    <w:rsid w:val="30972CD7"/>
    <w:rsid w:val="338B58F9"/>
    <w:rsid w:val="35106CBA"/>
    <w:rsid w:val="359F092E"/>
    <w:rsid w:val="36482401"/>
    <w:rsid w:val="3690694C"/>
    <w:rsid w:val="3834355C"/>
    <w:rsid w:val="392927F4"/>
    <w:rsid w:val="39294094"/>
    <w:rsid w:val="395C3290"/>
    <w:rsid w:val="39901870"/>
    <w:rsid w:val="39C32E26"/>
    <w:rsid w:val="3A3730B3"/>
    <w:rsid w:val="3A670029"/>
    <w:rsid w:val="3A832F93"/>
    <w:rsid w:val="3B8D233D"/>
    <w:rsid w:val="3B90386C"/>
    <w:rsid w:val="3BC71300"/>
    <w:rsid w:val="3D3150D7"/>
    <w:rsid w:val="3D39730A"/>
    <w:rsid w:val="3D792146"/>
    <w:rsid w:val="3DA44A9A"/>
    <w:rsid w:val="3DD81F2F"/>
    <w:rsid w:val="3E6E464D"/>
    <w:rsid w:val="3E8B1A0E"/>
    <w:rsid w:val="3EB704DF"/>
    <w:rsid w:val="3EC71910"/>
    <w:rsid w:val="3FDA5F55"/>
    <w:rsid w:val="3FF27A7F"/>
    <w:rsid w:val="3FFE668C"/>
    <w:rsid w:val="404B1644"/>
    <w:rsid w:val="407429A9"/>
    <w:rsid w:val="410D10EF"/>
    <w:rsid w:val="42601328"/>
    <w:rsid w:val="43AF29B6"/>
    <w:rsid w:val="43D61CCF"/>
    <w:rsid w:val="43DE2931"/>
    <w:rsid w:val="443F41E6"/>
    <w:rsid w:val="45FC38DD"/>
    <w:rsid w:val="46236E5D"/>
    <w:rsid w:val="46595282"/>
    <w:rsid w:val="47A5788D"/>
    <w:rsid w:val="490C469B"/>
    <w:rsid w:val="4A5B7B3E"/>
    <w:rsid w:val="4AC472F6"/>
    <w:rsid w:val="4B516DB0"/>
    <w:rsid w:val="4B967035"/>
    <w:rsid w:val="4BAC0F30"/>
    <w:rsid w:val="4C1A1E0C"/>
    <w:rsid w:val="4ECE7D43"/>
    <w:rsid w:val="4EFF0B8C"/>
    <w:rsid w:val="4F145A97"/>
    <w:rsid w:val="4FBB51E1"/>
    <w:rsid w:val="507A6E79"/>
    <w:rsid w:val="51643670"/>
    <w:rsid w:val="516813B7"/>
    <w:rsid w:val="51C81661"/>
    <w:rsid w:val="51F73523"/>
    <w:rsid w:val="52461747"/>
    <w:rsid w:val="530813EE"/>
    <w:rsid w:val="53907A9C"/>
    <w:rsid w:val="539812BA"/>
    <w:rsid w:val="53995B4D"/>
    <w:rsid w:val="53D87AF9"/>
    <w:rsid w:val="54633B4F"/>
    <w:rsid w:val="556E3A45"/>
    <w:rsid w:val="562811FA"/>
    <w:rsid w:val="563901FD"/>
    <w:rsid w:val="56BB08ED"/>
    <w:rsid w:val="57483270"/>
    <w:rsid w:val="578A3156"/>
    <w:rsid w:val="57CF122D"/>
    <w:rsid w:val="57D22D9F"/>
    <w:rsid w:val="58D3473A"/>
    <w:rsid w:val="594D0FF5"/>
    <w:rsid w:val="59802810"/>
    <w:rsid w:val="59C15660"/>
    <w:rsid w:val="5C287B46"/>
    <w:rsid w:val="5C9A5ED6"/>
    <w:rsid w:val="5D0133B4"/>
    <w:rsid w:val="5FDF7679"/>
    <w:rsid w:val="5FF72569"/>
    <w:rsid w:val="60B73BE3"/>
    <w:rsid w:val="60CE773C"/>
    <w:rsid w:val="61C130C1"/>
    <w:rsid w:val="62255EA3"/>
    <w:rsid w:val="6318157E"/>
    <w:rsid w:val="638766EA"/>
    <w:rsid w:val="638B0EC9"/>
    <w:rsid w:val="643273F2"/>
    <w:rsid w:val="65777A49"/>
    <w:rsid w:val="657C64F2"/>
    <w:rsid w:val="659336A6"/>
    <w:rsid w:val="66407CB6"/>
    <w:rsid w:val="66B6679B"/>
    <w:rsid w:val="66C40DF5"/>
    <w:rsid w:val="66EC21E0"/>
    <w:rsid w:val="66F0459E"/>
    <w:rsid w:val="67C75E17"/>
    <w:rsid w:val="68906041"/>
    <w:rsid w:val="68A55C83"/>
    <w:rsid w:val="68EC54AE"/>
    <w:rsid w:val="692B16DF"/>
    <w:rsid w:val="6A342EDC"/>
    <w:rsid w:val="6AEF404D"/>
    <w:rsid w:val="6B584F37"/>
    <w:rsid w:val="6C16314B"/>
    <w:rsid w:val="6D535020"/>
    <w:rsid w:val="6E0830C1"/>
    <w:rsid w:val="6E7077A6"/>
    <w:rsid w:val="6EC12010"/>
    <w:rsid w:val="6F181641"/>
    <w:rsid w:val="706604DF"/>
    <w:rsid w:val="70DE0B7B"/>
    <w:rsid w:val="71033176"/>
    <w:rsid w:val="721313F4"/>
    <w:rsid w:val="73032CB1"/>
    <w:rsid w:val="73F80AD2"/>
    <w:rsid w:val="749C4069"/>
    <w:rsid w:val="74F007F1"/>
    <w:rsid w:val="751B335A"/>
    <w:rsid w:val="75F85885"/>
    <w:rsid w:val="76142D94"/>
    <w:rsid w:val="767220DF"/>
    <w:rsid w:val="77352893"/>
    <w:rsid w:val="78345F0B"/>
    <w:rsid w:val="78946581"/>
    <w:rsid w:val="795E5CA6"/>
    <w:rsid w:val="797E57D3"/>
    <w:rsid w:val="79CB2F0C"/>
    <w:rsid w:val="7A185B8F"/>
    <w:rsid w:val="7AD61D23"/>
    <w:rsid w:val="7B170503"/>
    <w:rsid w:val="7B1E666E"/>
    <w:rsid w:val="7B88374B"/>
    <w:rsid w:val="7C061518"/>
    <w:rsid w:val="7C8672CB"/>
    <w:rsid w:val="7E126E8D"/>
    <w:rsid w:val="7F6435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2"/>
    <w:basedOn w:val="1"/>
    <w:next w:val="1"/>
    <w:link w:val="32"/>
    <w:autoRedefine/>
    <w:qFormat/>
    <w:uiPriority w:val="99"/>
    <w:pPr>
      <w:adjustRightInd w:val="0"/>
      <w:jc w:val="center"/>
      <w:textAlignment w:val="baseline"/>
      <w:outlineLvl w:val="1"/>
    </w:pPr>
    <w:rPr>
      <w:kern w:val="0"/>
      <w:sz w:val="24"/>
      <w:szCs w:val="24"/>
    </w:rPr>
  </w:style>
  <w:style w:type="paragraph" w:styleId="5">
    <w:name w:val="heading 3"/>
    <w:basedOn w:val="6"/>
    <w:next w:val="1"/>
    <w:link w:val="26"/>
    <w:qFormat/>
    <w:uiPriority w:val="99"/>
    <w:pPr>
      <w:spacing w:before="260" w:after="260" w:line="240" w:lineRule="auto"/>
      <w:outlineLvl w:val="2"/>
    </w:pPr>
    <w:rPr>
      <w:rFonts w:ascii="宋体" w:hAnsi="宋体" w:eastAsia="宋体" w:cs="宋体"/>
    </w:rPr>
  </w:style>
  <w:style w:type="paragraph" w:styleId="6">
    <w:name w:val="heading 4"/>
    <w:basedOn w:val="1"/>
    <w:next w:val="1"/>
    <w:link w:val="23"/>
    <w:qFormat/>
    <w:uiPriority w:val="99"/>
    <w:pPr>
      <w:keepNext/>
      <w:keepLines/>
      <w:spacing w:before="280" w:after="290" w:line="376" w:lineRule="auto"/>
      <w:outlineLvl w:val="3"/>
    </w:pPr>
    <w:rPr>
      <w:rFonts w:ascii="Arial" w:hAnsi="Arial" w:eastAsia="黑体" w:cs="Arial"/>
      <w:b/>
      <w:bCs/>
      <w:sz w:val="28"/>
      <w:szCs w:val="28"/>
    </w:rPr>
  </w:style>
  <w:style w:type="paragraph" w:styleId="7">
    <w:name w:val="heading 5"/>
    <w:basedOn w:val="1"/>
    <w:next w:val="1"/>
    <w:unhideWhenUsed/>
    <w:qFormat/>
    <w:locked/>
    <w:uiPriority w:val="0"/>
    <w:pPr>
      <w:keepNext/>
      <w:keepLines/>
      <w:spacing w:before="280" w:beforeLines="0" w:beforeAutospacing="0" w:after="290" w:afterLines="0" w:afterAutospacing="0" w:line="372" w:lineRule="auto"/>
      <w:outlineLvl w:val="4"/>
    </w:pPr>
    <w:rPr>
      <w:b/>
      <w:sz w:val="28"/>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30"/>
    <w:autoRedefine/>
    <w:qFormat/>
    <w:uiPriority w:val="99"/>
    <w:pPr>
      <w:spacing w:line="360" w:lineRule="auto"/>
    </w:pPr>
    <w:rPr>
      <w:b/>
      <w:bCs/>
      <w:sz w:val="24"/>
      <w:szCs w:val="24"/>
    </w:rPr>
  </w:style>
  <w:style w:type="paragraph" w:styleId="3">
    <w:name w:val="Body Text 2"/>
    <w:basedOn w:val="1"/>
    <w:next w:val="2"/>
    <w:qFormat/>
    <w:uiPriority w:val="0"/>
    <w:pPr>
      <w:spacing w:line="360" w:lineRule="auto"/>
    </w:pPr>
    <w:rPr>
      <w:sz w:val="24"/>
    </w:rPr>
  </w:style>
  <w:style w:type="paragraph" w:styleId="8">
    <w:name w:val="Normal Indent"/>
    <w:basedOn w:val="1"/>
    <w:autoRedefine/>
    <w:qFormat/>
    <w:uiPriority w:val="99"/>
    <w:pPr>
      <w:ind w:firstLine="420"/>
    </w:pPr>
  </w:style>
  <w:style w:type="paragraph" w:styleId="9">
    <w:name w:val="Plain Text"/>
    <w:basedOn w:val="1"/>
    <w:link w:val="28"/>
    <w:autoRedefine/>
    <w:qFormat/>
    <w:uiPriority w:val="99"/>
    <w:rPr>
      <w:rFonts w:ascii="宋体" w:hAnsi="Courier New" w:cs="宋体"/>
    </w:rPr>
  </w:style>
  <w:style w:type="paragraph" w:styleId="10">
    <w:name w:val="footer"/>
    <w:basedOn w:val="1"/>
    <w:link w:val="31"/>
    <w:autoRedefine/>
    <w:qFormat/>
    <w:uiPriority w:val="99"/>
    <w:pPr>
      <w:tabs>
        <w:tab w:val="center" w:pos="4153"/>
        <w:tab w:val="right" w:pos="8306"/>
      </w:tabs>
      <w:snapToGrid w:val="0"/>
      <w:jc w:val="left"/>
    </w:pPr>
    <w:rPr>
      <w:sz w:val="18"/>
      <w:szCs w:val="18"/>
    </w:rPr>
  </w:style>
  <w:style w:type="paragraph" w:styleId="11">
    <w:name w:val="header"/>
    <w:basedOn w:val="1"/>
    <w:link w:val="24"/>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2">
    <w:name w:val="toc 1"/>
    <w:basedOn w:val="1"/>
    <w:next w:val="1"/>
    <w:qFormat/>
    <w:locked/>
    <w:uiPriority w:val="0"/>
  </w:style>
  <w:style w:type="paragraph" w:styleId="13">
    <w:name w:val="Normal (Web)"/>
    <w:basedOn w:val="1"/>
    <w:autoRedefine/>
    <w:qFormat/>
    <w:uiPriority w:val="99"/>
    <w:rPr>
      <w:sz w:val="24"/>
      <w:szCs w:val="24"/>
    </w:rPr>
  </w:style>
  <w:style w:type="paragraph" w:styleId="14">
    <w:name w:val="Title"/>
    <w:basedOn w:val="1"/>
    <w:next w:val="1"/>
    <w:qFormat/>
    <w:locked/>
    <w:uiPriority w:val="0"/>
    <w:pPr>
      <w:spacing w:before="240" w:beforeLines="0" w:after="60" w:afterLines="0"/>
      <w:jc w:val="center"/>
      <w:outlineLvl w:val="0"/>
    </w:pPr>
    <w:rPr>
      <w:rFonts w:ascii="Cambria" w:hAnsi="Cambria"/>
      <w:b/>
      <w:bCs/>
      <w:sz w:val="32"/>
      <w:szCs w:val="32"/>
    </w:rPr>
  </w:style>
  <w:style w:type="table" w:styleId="16">
    <w:name w:val="Table Grid"/>
    <w:basedOn w:val="15"/>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99"/>
    <w:rPr>
      <w:b/>
      <w:bCs/>
    </w:rPr>
  </w:style>
  <w:style w:type="character" w:styleId="19">
    <w:name w:val="page number"/>
    <w:basedOn w:val="17"/>
    <w:autoRedefine/>
    <w:qFormat/>
    <w:uiPriority w:val="99"/>
  </w:style>
  <w:style w:type="character" w:styleId="20">
    <w:name w:val="Hyperlink"/>
    <w:basedOn w:val="17"/>
    <w:autoRedefine/>
    <w:qFormat/>
    <w:uiPriority w:val="99"/>
    <w:rPr>
      <w:color w:val="0000FF"/>
      <w:u w:val="single"/>
    </w:rPr>
  </w:style>
  <w:style w:type="paragraph" w:customStyle="1" w:styleId="21">
    <w:name w:val="正文正"/>
    <w:basedOn w:val="1"/>
    <w:qFormat/>
    <w:uiPriority w:val="0"/>
    <w:pPr>
      <w:spacing w:line="560" w:lineRule="exact"/>
      <w:ind w:firstLine="561"/>
    </w:pPr>
    <w:rPr>
      <w:rFonts w:eastAsia="仿宋_GB2312"/>
      <w:sz w:val="28"/>
      <w:szCs w:val="24"/>
    </w:rPr>
  </w:style>
  <w:style w:type="paragraph" w:customStyle="1" w:styleId="22">
    <w:name w:val="WW-Default"/>
    <w:autoRedefine/>
    <w:qFormat/>
    <w:uiPriority w:val="0"/>
    <w:pPr>
      <w:widowControl w:val="0"/>
      <w:suppressAutoHyphens/>
      <w:autoSpaceDE w:val="0"/>
    </w:pPr>
    <w:rPr>
      <w:rFonts w:ascii="Times New Roman" w:hAnsi="Times New Roman" w:eastAsia="宋体" w:cs="Times New Roman"/>
      <w:color w:val="000000"/>
      <w:sz w:val="24"/>
      <w:szCs w:val="24"/>
      <w:lang w:val="en-US" w:eastAsia="zh-CN" w:bidi="ar-SA"/>
    </w:rPr>
  </w:style>
  <w:style w:type="character" w:customStyle="1" w:styleId="23">
    <w:name w:val="标题 4 字符"/>
    <w:basedOn w:val="17"/>
    <w:link w:val="6"/>
    <w:autoRedefine/>
    <w:semiHidden/>
    <w:qFormat/>
    <w:locked/>
    <w:uiPriority w:val="99"/>
    <w:rPr>
      <w:rFonts w:ascii="Cambria" w:hAnsi="Cambria" w:eastAsia="宋体" w:cs="Cambria"/>
      <w:b/>
      <w:bCs/>
      <w:sz w:val="28"/>
      <w:szCs w:val="28"/>
    </w:rPr>
  </w:style>
  <w:style w:type="character" w:customStyle="1" w:styleId="24">
    <w:name w:val="页眉 字符"/>
    <w:basedOn w:val="17"/>
    <w:link w:val="11"/>
    <w:autoRedefine/>
    <w:semiHidden/>
    <w:qFormat/>
    <w:locked/>
    <w:uiPriority w:val="99"/>
    <w:rPr>
      <w:rFonts w:ascii="Calibri" w:hAnsi="Calibri" w:cs="Calibri"/>
      <w:sz w:val="18"/>
      <w:szCs w:val="18"/>
    </w:rPr>
  </w:style>
  <w:style w:type="character" w:customStyle="1" w:styleId="25">
    <w:name w:val="font71"/>
    <w:basedOn w:val="17"/>
    <w:autoRedefine/>
    <w:qFormat/>
    <w:uiPriority w:val="99"/>
    <w:rPr>
      <w:rFonts w:ascii="宋体" w:hAnsi="宋体" w:eastAsia="宋体" w:cs="宋体"/>
      <w:color w:val="000000"/>
      <w:sz w:val="18"/>
      <w:szCs w:val="18"/>
      <w:u w:val="none"/>
    </w:rPr>
  </w:style>
  <w:style w:type="character" w:customStyle="1" w:styleId="26">
    <w:name w:val="标题 3 字符"/>
    <w:basedOn w:val="17"/>
    <w:link w:val="5"/>
    <w:autoRedefine/>
    <w:semiHidden/>
    <w:qFormat/>
    <w:locked/>
    <w:uiPriority w:val="99"/>
    <w:rPr>
      <w:rFonts w:ascii="Calibri" w:hAnsi="Calibri" w:cs="Calibri"/>
      <w:b/>
      <w:bCs/>
      <w:sz w:val="32"/>
      <w:szCs w:val="32"/>
    </w:rPr>
  </w:style>
  <w:style w:type="character" w:customStyle="1" w:styleId="27">
    <w:name w:val="font31"/>
    <w:basedOn w:val="17"/>
    <w:autoRedefine/>
    <w:qFormat/>
    <w:uiPriority w:val="99"/>
    <w:rPr>
      <w:rFonts w:ascii="宋体" w:hAnsi="宋体" w:eastAsia="宋体" w:cs="宋体"/>
      <w:color w:val="000000"/>
      <w:sz w:val="18"/>
      <w:szCs w:val="18"/>
      <w:u w:val="none"/>
    </w:rPr>
  </w:style>
  <w:style w:type="character" w:customStyle="1" w:styleId="28">
    <w:name w:val="纯文本 字符"/>
    <w:basedOn w:val="17"/>
    <w:link w:val="9"/>
    <w:autoRedefine/>
    <w:semiHidden/>
    <w:qFormat/>
    <w:locked/>
    <w:uiPriority w:val="99"/>
    <w:rPr>
      <w:rFonts w:ascii="宋体" w:hAnsi="Courier New" w:cs="宋体"/>
      <w:sz w:val="21"/>
      <w:szCs w:val="21"/>
    </w:rPr>
  </w:style>
  <w:style w:type="character" w:customStyle="1" w:styleId="29">
    <w:name w:val="font01"/>
    <w:basedOn w:val="17"/>
    <w:autoRedefine/>
    <w:qFormat/>
    <w:uiPriority w:val="99"/>
    <w:rPr>
      <w:rFonts w:ascii="宋体" w:hAnsi="宋体" w:eastAsia="宋体" w:cs="宋体"/>
      <w:color w:val="000000"/>
      <w:sz w:val="18"/>
      <w:szCs w:val="18"/>
      <w:u w:val="none"/>
    </w:rPr>
  </w:style>
  <w:style w:type="character" w:customStyle="1" w:styleId="30">
    <w:name w:val="正文文本 字符"/>
    <w:basedOn w:val="17"/>
    <w:link w:val="2"/>
    <w:autoRedefine/>
    <w:semiHidden/>
    <w:qFormat/>
    <w:locked/>
    <w:uiPriority w:val="99"/>
    <w:rPr>
      <w:rFonts w:ascii="Calibri" w:hAnsi="Calibri" w:cs="Calibri"/>
      <w:sz w:val="21"/>
      <w:szCs w:val="21"/>
    </w:rPr>
  </w:style>
  <w:style w:type="character" w:customStyle="1" w:styleId="31">
    <w:name w:val="页脚 字符"/>
    <w:basedOn w:val="17"/>
    <w:link w:val="10"/>
    <w:autoRedefine/>
    <w:semiHidden/>
    <w:qFormat/>
    <w:locked/>
    <w:uiPriority w:val="99"/>
    <w:rPr>
      <w:rFonts w:ascii="Calibri" w:hAnsi="Calibri" w:cs="Calibri"/>
      <w:sz w:val="18"/>
      <w:szCs w:val="18"/>
    </w:rPr>
  </w:style>
  <w:style w:type="character" w:customStyle="1" w:styleId="32">
    <w:name w:val="标题 2 字符"/>
    <w:basedOn w:val="17"/>
    <w:link w:val="4"/>
    <w:autoRedefine/>
    <w:semiHidden/>
    <w:qFormat/>
    <w:locked/>
    <w:uiPriority w:val="99"/>
    <w:rPr>
      <w:rFonts w:ascii="Cambria" w:hAnsi="Cambria" w:eastAsia="宋体" w:cs="Cambria"/>
      <w:b/>
      <w:bCs/>
      <w:sz w:val="32"/>
      <w:szCs w:val="32"/>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Table Text"/>
    <w:basedOn w:val="1"/>
    <w:autoRedefine/>
    <w:semiHidden/>
    <w:qFormat/>
    <w:uiPriority w:val="0"/>
    <w:rPr>
      <w:rFonts w:ascii="宋体" w:hAnsi="宋体" w:eastAsia="宋体" w:cs="宋体"/>
      <w:sz w:val="11"/>
      <w:szCs w:val="11"/>
      <w:lang w:val="en-US" w:eastAsia="en-US" w:bidi="ar-SA"/>
    </w:rPr>
  </w:style>
  <w:style w:type="table" w:customStyle="1" w:styleId="35">
    <w:name w:val="Table Normal"/>
    <w:autoRedefine/>
    <w:semiHidden/>
    <w:unhideWhenUsed/>
    <w:qFormat/>
    <w:uiPriority w:val="0"/>
    <w:tblPr>
      <w:tblCellMar>
        <w:top w:w="0" w:type="dxa"/>
        <w:left w:w="0" w:type="dxa"/>
        <w:bottom w:w="0" w:type="dxa"/>
        <w:right w:w="0" w:type="dxa"/>
      </w:tblCellMar>
    </w:tblPr>
  </w:style>
  <w:style w:type="paragraph" w:customStyle="1" w:styleId="36">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3619</Words>
  <Characters>3923</Characters>
  <Lines>56</Lines>
  <Paragraphs>15</Paragraphs>
  <TotalTime>4</TotalTime>
  <ScaleCrop>false</ScaleCrop>
  <LinksUpToDate>false</LinksUpToDate>
  <CharactersWithSpaces>3965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2018-03-29T02:45:00Z</dcterms:created>
  <dc:creator>海阔天蓝</dc:creator>
  <cp:lastModifiedBy>惠</cp:lastModifiedBy>
  <cp:lastPrinted>2025-04-15T08:46:00Z</cp:lastPrinted>
  <dcterms:modified xsi:type="dcterms:W3CDTF">2025-06-03T00:38:39Z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7AE475E981104422AF685A43530E3B91</vt:lpwstr>
  </property>
  <property fmtid="{D5CDD505-2E9C-101B-9397-08002B2CF9AE}" pid="4" name="KSOTemplateDocerSaveRecord">
    <vt:lpwstr>eyJoZGlkIjoiNWM0ZTc5NzgxZjljZDZjOWQ1ZTdiMjU5NjllOTU2ZGIiLCJ1c2VySWQiOiI0MTM5NDA3MjgifQ==</vt:lpwstr>
  </property>
</Properties>
</file>